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96E" w:rsidRDefault="0057696E" w:rsidP="0057696E">
      <w:pPr>
        <w:pStyle w:val="Standard"/>
        <w:spacing w:before="24" w:after="24"/>
        <w:rPr>
          <w:rFonts w:ascii="Helvetica" w:eastAsia="Times New Roman" w:hAnsi="Helvetica" w:cs="Helvetica"/>
          <w:color w:val="000000"/>
          <w:sz w:val="29"/>
          <w:szCs w:val="29"/>
        </w:rPr>
      </w:pPr>
      <w:r>
        <w:rPr>
          <w:rFonts w:ascii="Helvetica" w:eastAsia="Times New Roman" w:hAnsi="Helvetica" w:cs="Helvetica"/>
          <w:noProof/>
          <w:color w:val="000000"/>
          <w:sz w:val="29"/>
          <w:szCs w:val="2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-2560</wp:posOffset>
            </wp:positionH>
            <wp:positionV relativeFrom="paragraph">
              <wp:posOffset>157002</wp:posOffset>
            </wp:positionV>
            <wp:extent cx="676473" cy="885962"/>
            <wp:effectExtent l="0" t="0" r="0" b="0"/>
            <wp:wrapSquare wrapText="bothSides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473" cy="885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color w:val="000000"/>
          <w:sz w:val="29"/>
          <w:szCs w:val="29"/>
        </w:rPr>
        <w:t xml:space="preserve">        </w:t>
      </w:r>
      <w:r>
        <w:rPr>
          <w:rFonts w:eastAsia="Times New Roman" w:cs="Helvetica"/>
          <w:color w:val="000000"/>
          <w:sz w:val="29"/>
          <w:szCs w:val="29"/>
        </w:rPr>
        <w:t>CRNA GORA</w:t>
      </w:r>
    </w:p>
    <w:p w:rsidR="0057696E" w:rsidRDefault="0057696E" w:rsidP="0057696E">
      <w:pPr>
        <w:pStyle w:val="Standard"/>
        <w:spacing w:before="24" w:after="24"/>
        <w:rPr>
          <w:rFonts w:eastAsia="Times New Roman" w:cs="Helvetica"/>
          <w:color w:val="000000"/>
          <w:sz w:val="29"/>
          <w:szCs w:val="29"/>
        </w:rPr>
      </w:pPr>
      <w:r>
        <w:rPr>
          <w:rFonts w:eastAsia="Times New Roman" w:cs="Helvetica"/>
          <w:color w:val="000000"/>
          <w:sz w:val="29"/>
          <w:szCs w:val="29"/>
        </w:rPr>
        <w:t xml:space="preserve">    OPŠTINA DANILOVGRAD</w:t>
      </w:r>
    </w:p>
    <w:p w:rsidR="0057696E" w:rsidRDefault="0057696E" w:rsidP="0057696E">
      <w:pPr>
        <w:pStyle w:val="Standard"/>
        <w:spacing w:before="24" w:after="24"/>
      </w:pPr>
      <w:r>
        <w:rPr>
          <w:rFonts w:eastAsia="Times New Roman" w:cs="Helvetica"/>
          <w:b/>
          <w:bCs/>
          <w:color w:val="000000"/>
          <w:sz w:val="29"/>
          <w:szCs w:val="29"/>
        </w:rPr>
        <w:t>Sekretarijat za urbanizam, komunalne,</w:t>
      </w:r>
      <w:r>
        <w:rPr>
          <w:rFonts w:eastAsia="Times New Roman" w:cs="Helvetica"/>
          <w:color w:val="000000"/>
          <w:sz w:val="29"/>
          <w:szCs w:val="29"/>
        </w:rPr>
        <w:t xml:space="preserve"> </w:t>
      </w:r>
      <w:r>
        <w:rPr>
          <w:rFonts w:eastAsia="Times New Roman" w:cs="Helvetica"/>
          <w:b/>
          <w:bCs/>
          <w:color w:val="000000"/>
          <w:sz w:val="29"/>
          <w:szCs w:val="29"/>
        </w:rPr>
        <w:t>stambene</w:t>
      </w:r>
    </w:p>
    <w:p w:rsidR="0057696E" w:rsidRDefault="0057696E" w:rsidP="0057696E">
      <w:pPr>
        <w:pStyle w:val="Standard"/>
        <w:spacing w:before="24" w:after="24"/>
      </w:pPr>
      <w:r>
        <w:rPr>
          <w:rFonts w:eastAsia="Times New Roman" w:cs="Helvetica"/>
          <w:b/>
          <w:bCs/>
          <w:color w:val="000000"/>
          <w:sz w:val="29"/>
          <w:szCs w:val="29"/>
        </w:rPr>
        <w:t>poslove, saobraćaj i zaštitu životne sredine</w:t>
      </w:r>
    </w:p>
    <w:p w:rsidR="0057696E" w:rsidRDefault="0057696E" w:rsidP="0057696E">
      <w:pPr>
        <w:pStyle w:val="Standard"/>
        <w:spacing w:before="24" w:after="24"/>
        <w:rPr>
          <w:rFonts w:eastAsia="Times New Roman" w:cs="Helvetica"/>
          <w:color w:val="000000"/>
          <w:sz w:val="29"/>
          <w:szCs w:val="29"/>
        </w:rPr>
      </w:pPr>
      <w:r>
        <w:rPr>
          <w:rFonts w:eastAsia="Times New Roman" w:cs="Helvetica"/>
          <w:color w:val="000000"/>
          <w:sz w:val="29"/>
          <w:szCs w:val="29"/>
        </w:rPr>
        <w:t xml:space="preserve">Broj: </w:t>
      </w:r>
      <w:r w:rsidR="00DF5AF6" w:rsidRPr="00DF5AF6">
        <w:rPr>
          <w:rFonts w:eastAsia="Times New Roman" w:cs="Helvetica"/>
          <w:color w:val="000000"/>
          <w:sz w:val="29"/>
          <w:szCs w:val="29"/>
        </w:rPr>
        <w:t xml:space="preserve">Broj: 06 </w:t>
      </w:r>
      <w:r w:rsidR="00DF5AF6">
        <w:rPr>
          <w:rFonts w:eastAsia="Times New Roman" w:cs="Helvetica"/>
          <w:color w:val="000000"/>
          <w:sz w:val="29"/>
          <w:szCs w:val="29"/>
        </w:rPr>
        <w:t>–</w:t>
      </w:r>
      <w:r w:rsidR="00DF5AF6" w:rsidRPr="00DF5AF6">
        <w:rPr>
          <w:rFonts w:eastAsia="Times New Roman" w:cs="Helvetica"/>
          <w:color w:val="000000"/>
          <w:sz w:val="29"/>
          <w:szCs w:val="29"/>
        </w:rPr>
        <w:t xml:space="preserve"> up</w:t>
      </w:r>
      <w:r w:rsidR="00F272DF">
        <w:rPr>
          <w:rFonts w:eastAsia="Times New Roman" w:cs="Helvetica"/>
          <w:color w:val="000000"/>
          <w:sz w:val="29"/>
          <w:szCs w:val="29"/>
        </w:rPr>
        <w:t xml:space="preserve"> – 107/1</w:t>
      </w:r>
      <w:bookmarkStart w:id="0" w:name="_GoBack"/>
      <w:bookmarkEnd w:id="0"/>
    </w:p>
    <w:p w:rsidR="0057696E" w:rsidRDefault="0057696E" w:rsidP="0057696E">
      <w:pPr>
        <w:pStyle w:val="Standard"/>
        <w:spacing w:before="24" w:after="24"/>
        <w:rPr>
          <w:rFonts w:ascii="Helvetica" w:eastAsia="Times New Roman" w:hAnsi="Helvetica" w:cs="Helvetica"/>
          <w:color w:val="000000"/>
          <w:sz w:val="29"/>
          <w:szCs w:val="29"/>
        </w:rPr>
      </w:pPr>
      <w:r>
        <w:rPr>
          <w:rFonts w:eastAsia="Times New Roman" w:cs="Helvetica"/>
          <w:color w:val="000000"/>
          <w:sz w:val="29"/>
          <w:szCs w:val="29"/>
        </w:rPr>
        <w:t xml:space="preserve">                </w:t>
      </w:r>
      <w:r w:rsidR="00DF5AF6">
        <w:rPr>
          <w:rFonts w:eastAsia="Times New Roman" w:cs="Helvetica"/>
          <w:color w:val="000000"/>
          <w:sz w:val="29"/>
          <w:szCs w:val="29"/>
        </w:rPr>
        <w:t xml:space="preserve"> Danilovgrad, 09.05.2018</w:t>
      </w:r>
      <w:r>
        <w:rPr>
          <w:rFonts w:eastAsia="Times New Roman" w:cs="Helvetica"/>
          <w:color w:val="000000"/>
          <w:sz w:val="29"/>
          <w:szCs w:val="29"/>
        </w:rPr>
        <w:t>. godi</w:t>
      </w:r>
      <w:r>
        <w:rPr>
          <w:rFonts w:ascii="Helvetica" w:eastAsia="Times New Roman" w:hAnsi="Helvetica" w:cs="Helvetica"/>
          <w:color w:val="000000"/>
          <w:sz w:val="29"/>
          <w:szCs w:val="29"/>
        </w:rPr>
        <w:t>ne</w:t>
      </w:r>
    </w:p>
    <w:p w:rsidR="0057696E" w:rsidRDefault="0057696E" w:rsidP="0057696E">
      <w:pPr>
        <w:pStyle w:val="Standard"/>
      </w:pPr>
    </w:p>
    <w:p w:rsidR="00DF5AF6" w:rsidRPr="002D293C" w:rsidRDefault="00DF5AF6" w:rsidP="00DF5AF6">
      <w:pPr>
        <w:pStyle w:val="Bezrazmaka"/>
        <w:jc w:val="both"/>
        <w:rPr>
          <w:lang w:val="sr-Latn-CS"/>
        </w:rPr>
      </w:pPr>
      <w:r w:rsidRPr="002D293C">
        <w:t xml:space="preserve">Na osnovu člana 13 Zakona o procjeni uticaja na životnu sredinu („Sl. list RCG“, br. 80/05 i „Sl. list CG“, br. 40/10, 73/10, 40/11, 27/13 i 52/16) i člana 18 Zakona o upravnom postupku („Sl. list CG“, br. 56/14, 20/15, 40/16 i 37/17) u postupku odlučivanja po </w:t>
      </w:r>
      <w:r w:rsidRPr="002D293C">
        <w:rPr>
          <w:lang w:val="sr-Latn-CS"/>
        </w:rPr>
        <w:t>zahtjevu „Don Don“ doo Podgorica, o potrebi procjene uticaja na životnu sredinu, Sekretarijat za urbanizam, komunalne, stambene poslove, saobraćaj i zaštitu životne sredine, d o n o s i:</w:t>
      </w:r>
    </w:p>
    <w:p w:rsidR="0057696E" w:rsidRDefault="0057696E" w:rsidP="0057696E">
      <w:pPr>
        <w:pStyle w:val="Standard"/>
      </w:pPr>
    </w:p>
    <w:p w:rsidR="0057696E" w:rsidRDefault="0057696E" w:rsidP="0057696E">
      <w:pPr>
        <w:pStyle w:val="Standard"/>
        <w:jc w:val="center"/>
        <w:rPr>
          <w:b/>
        </w:rPr>
      </w:pPr>
      <w:r>
        <w:rPr>
          <w:b/>
        </w:rPr>
        <w:t>R J E Š E NJ E</w:t>
      </w:r>
    </w:p>
    <w:p w:rsidR="0057696E" w:rsidRDefault="0057696E" w:rsidP="0057696E">
      <w:pPr>
        <w:pStyle w:val="Standard"/>
      </w:pPr>
    </w:p>
    <w:p w:rsidR="0057696E" w:rsidRDefault="0057696E" w:rsidP="0057696E">
      <w:pPr>
        <w:pStyle w:val="Bezrazmaka"/>
        <w:numPr>
          <w:ilvl w:val="0"/>
          <w:numId w:val="1"/>
        </w:numPr>
        <w:jc w:val="both"/>
      </w:pPr>
      <w:r>
        <w:rPr>
          <w:b/>
        </w:rPr>
        <w:t>Utvrđuje se da nije potrebna procjena uticaja na životnu sredinu</w:t>
      </w:r>
      <w:r w:rsidR="00DF5AF6">
        <w:t xml:space="preserve"> za </w:t>
      </w:r>
      <w:r w:rsidR="00DF5AF6" w:rsidRPr="00DF5AF6">
        <w:t xml:space="preserve">podzemni rezervoar sa </w:t>
      </w:r>
      <w:r w:rsidR="00C47F3D">
        <w:t>tečnim naftnim gasom</w:t>
      </w:r>
      <w:r w:rsidR="00DF5AF6" w:rsidRPr="00DF5AF6">
        <w:t xml:space="preserve"> od</w:t>
      </w:r>
      <w:r w:rsidR="00DF5AF6">
        <w:t xml:space="preserve"> 30 m</w:t>
      </w:r>
      <w:r w:rsidR="00DF5AF6" w:rsidRPr="00DF5AF6">
        <w:rPr>
          <w:vertAlign w:val="superscript"/>
        </w:rPr>
        <w:t>3</w:t>
      </w:r>
      <w:r w:rsidR="00DF5AF6">
        <w:t xml:space="preserve"> za potrebe </w:t>
      </w:r>
      <w:r w:rsidR="00DF5AF6" w:rsidRPr="00DF5AF6">
        <w:t xml:space="preserve">pogona za proizvodnju kafe </w:t>
      </w:r>
      <w:r>
        <w:t>koji se nalazi na kat. parceli br. 1353</w:t>
      </w:r>
      <w:r w:rsidR="00DF5AF6">
        <w:t>/11</w:t>
      </w:r>
      <w:r>
        <w:t>, KO Novo Selo, opština Danilovgrad.</w:t>
      </w:r>
    </w:p>
    <w:p w:rsidR="0057696E" w:rsidRDefault="0057696E" w:rsidP="0057696E">
      <w:pPr>
        <w:pStyle w:val="Standard"/>
        <w:jc w:val="both"/>
      </w:pPr>
    </w:p>
    <w:p w:rsidR="0057696E" w:rsidRDefault="0057696E" w:rsidP="0057696E">
      <w:pPr>
        <w:pStyle w:val="Standard"/>
        <w:numPr>
          <w:ilvl w:val="0"/>
          <w:numId w:val="1"/>
        </w:numPr>
        <w:jc w:val="both"/>
      </w:pPr>
      <w:r>
        <w:t>Nosilac projekta,</w:t>
      </w:r>
      <w:r w:rsidRPr="00192465">
        <w:t xml:space="preserve"> </w:t>
      </w:r>
      <w:r>
        <w:t xml:space="preserve">Dragan Marković iz Podgorice, može pristupiti izvođenju projekta iz tačke I  ovog  rješenja, u skladu sa važećim tehničkim normativima i standardima propisanim za tu vrstu projekta, uz obavezu da pri </w:t>
      </w:r>
      <w:r w:rsidR="00DF5AF6">
        <w:t xml:space="preserve">izgradnji i </w:t>
      </w:r>
      <w:r>
        <w:t>funkcionisanju projekta primijeni potrebne mjere zaštite i  to:</w:t>
      </w:r>
    </w:p>
    <w:p w:rsidR="00DF5AF6" w:rsidRDefault="00DF5AF6" w:rsidP="00DF5AF6">
      <w:pPr>
        <w:pStyle w:val="Standard"/>
        <w:jc w:val="both"/>
      </w:pPr>
    </w:p>
    <w:p w:rsidR="005425EB" w:rsidRDefault="005425EB" w:rsidP="005425EB">
      <w:pPr>
        <w:pStyle w:val="Bezrazmaka"/>
        <w:numPr>
          <w:ilvl w:val="0"/>
          <w:numId w:val="2"/>
        </w:numPr>
        <w:jc w:val="both"/>
        <w:textAlignment w:val="auto"/>
      </w:pPr>
      <w:r w:rsidRPr="00CC1BD5">
        <w:t>da se tokom izvođenja i funkcionisanja projekta izbjegnu ili na najmanju mjeru svedu ugrožavanje i oštećenje prirode, shodno članu 16 Zakona o zaštiti prirode („Sl. list CG“, br. 54/16),</w:t>
      </w:r>
    </w:p>
    <w:p w:rsidR="005425EB" w:rsidRPr="00CC1BD5" w:rsidRDefault="005425EB" w:rsidP="005425EB">
      <w:pPr>
        <w:pStyle w:val="Bezrazmaka"/>
        <w:ind w:left="1080"/>
        <w:jc w:val="both"/>
        <w:textAlignment w:val="auto"/>
      </w:pPr>
    </w:p>
    <w:p w:rsidR="005425EB" w:rsidRPr="005425EB" w:rsidRDefault="003B7D39" w:rsidP="005425EB">
      <w:pPr>
        <w:pStyle w:val="Bezrazmaka"/>
        <w:numPr>
          <w:ilvl w:val="0"/>
          <w:numId w:val="2"/>
        </w:numPr>
        <w:jc w:val="both"/>
        <w:textAlignment w:val="auto"/>
      </w:pPr>
      <w:r>
        <w:t>koncentracija gasova</w:t>
      </w:r>
      <w:r w:rsidR="005425EB" w:rsidRPr="00CC1BD5">
        <w:t xml:space="preserve"> mora biti u skladu sa vrijednostima datim Uredbom o utvrđivanju vrsta zagađujućih materija, graničnih vrijednosti i drugih standarda kvaliteta vazduha (</w:t>
      </w:r>
      <w:r w:rsidR="005425EB" w:rsidRPr="00CC1BD5">
        <w:rPr>
          <w:rFonts w:cs="Tw Cen MT"/>
        </w:rPr>
        <w:t>Sl. List CG“ br. 25/12);</w:t>
      </w:r>
    </w:p>
    <w:p w:rsidR="005425EB" w:rsidRPr="00CC1BD5" w:rsidRDefault="005425EB" w:rsidP="005425EB">
      <w:pPr>
        <w:pStyle w:val="Bezrazmaka"/>
        <w:jc w:val="both"/>
        <w:textAlignment w:val="auto"/>
      </w:pPr>
    </w:p>
    <w:p w:rsidR="005425EB" w:rsidRDefault="005425EB" w:rsidP="005425EB">
      <w:pPr>
        <w:pStyle w:val="Bezrazmaka"/>
        <w:numPr>
          <w:ilvl w:val="0"/>
          <w:numId w:val="2"/>
        </w:numPr>
        <w:jc w:val="both"/>
        <w:textAlignment w:val="auto"/>
      </w:pPr>
      <w:r w:rsidRPr="00CC1BD5">
        <w:t xml:space="preserve">investitor je u obavezi testirati rad objekta </w:t>
      </w:r>
      <w:r w:rsidR="003B7D39">
        <w:t>po osnovu izduvnih gasova</w:t>
      </w:r>
      <w:r w:rsidR="005E0351">
        <w:t xml:space="preserve"> i njegove bebjednosti</w:t>
      </w:r>
      <w:r w:rsidR="003B7D39">
        <w:t xml:space="preserve"> </w:t>
      </w:r>
      <w:r w:rsidRPr="00CC1BD5">
        <w:t>prije zvaničnog pušta</w:t>
      </w:r>
      <w:r>
        <w:t>n</w:t>
      </w:r>
      <w:r w:rsidRPr="00CC1BD5">
        <w:t>ja objekta u rad;</w:t>
      </w:r>
    </w:p>
    <w:p w:rsidR="003B7D39" w:rsidRPr="00CC1BD5" w:rsidRDefault="003B7D39" w:rsidP="003B7D39">
      <w:pPr>
        <w:pStyle w:val="Bezrazmaka"/>
        <w:jc w:val="both"/>
        <w:textAlignment w:val="auto"/>
      </w:pPr>
    </w:p>
    <w:p w:rsidR="00A41420" w:rsidRDefault="005425EB" w:rsidP="00A41420">
      <w:pPr>
        <w:pStyle w:val="Bezrazmaka"/>
        <w:numPr>
          <w:ilvl w:val="0"/>
          <w:numId w:val="2"/>
        </w:numPr>
        <w:jc w:val="both"/>
        <w:textAlignment w:val="auto"/>
        <w:rPr>
          <w:rFonts w:cs="Arial"/>
        </w:rPr>
      </w:pPr>
      <w:r w:rsidRPr="00CC1BD5">
        <w:t>ukoliko bude postojala sumn</w:t>
      </w:r>
      <w:r w:rsidR="003B7D39">
        <w:t>ja da su koncentracije gasova iz</w:t>
      </w:r>
      <w:r w:rsidRPr="00CC1BD5">
        <w:rPr>
          <w:rFonts w:cs="Arial"/>
        </w:rPr>
        <w:t>van dozvoljenih mjera</w:t>
      </w:r>
      <w:r>
        <w:rPr>
          <w:rFonts w:cs="Arial"/>
        </w:rPr>
        <w:t>,</w:t>
      </w:r>
      <w:r w:rsidRPr="00CC1BD5">
        <w:rPr>
          <w:rFonts w:cs="Arial"/>
        </w:rPr>
        <w:t xml:space="preserve"> nosilac projekta je obavezan angažovati ovlašećenu – licenciranu tehničku kuću</w:t>
      </w:r>
      <w:r>
        <w:rPr>
          <w:rFonts w:cs="Arial"/>
        </w:rPr>
        <w:t xml:space="preserve">, i u skladu sa tim nalazima </w:t>
      </w:r>
      <w:r w:rsidRPr="00CC1BD5">
        <w:rPr>
          <w:rFonts w:cs="Arial"/>
        </w:rPr>
        <w:t>preduzeti neophodne aktivnosti, a sve u cilju dozvoljenih granica emisije štenih gasova;</w:t>
      </w:r>
    </w:p>
    <w:p w:rsidR="00A41420" w:rsidRPr="00A41420" w:rsidRDefault="00A41420" w:rsidP="00A41420">
      <w:pPr>
        <w:pStyle w:val="Bezrazmaka"/>
        <w:jc w:val="both"/>
        <w:textAlignment w:val="auto"/>
        <w:rPr>
          <w:rFonts w:cs="Arial"/>
        </w:rPr>
      </w:pPr>
    </w:p>
    <w:p w:rsidR="00A41420" w:rsidRDefault="00A41420" w:rsidP="005E0351">
      <w:pPr>
        <w:pStyle w:val="Bezrazmaka"/>
        <w:numPr>
          <w:ilvl w:val="0"/>
          <w:numId w:val="2"/>
        </w:numPr>
        <w:jc w:val="both"/>
        <w:textAlignment w:val="auto"/>
        <w:rPr>
          <w:rFonts w:cs="Arial"/>
        </w:rPr>
      </w:pPr>
      <w:r>
        <w:rPr>
          <w:rFonts w:cs="Arial"/>
        </w:rPr>
        <w:t>u</w:t>
      </w:r>
      <w:r w:rsidRPr="00A41420">
        <w:rPr>
          <w:rFonts w:cs="Arial"/>
        </w:rPr>
        <w:t>koliko se prilikom transporta ili skladištenja</w:t>
      </w:r>
      <w:r>
        <w:rPr>
          <w:rFonts w:cs="Arial"/>
        </w:rPr>
        <w:t xml:space="preserve"> </w:t>
      </w:r>
      <w:r w:rsidRPr="00A41420">
        <w:rPr>
          <w:rFonts w:cs="Arial"/>
        </w:rPr>
        <w:t xml:space="preserve">izolacija na rezervoarima ošteti, ista se prije ugradnje </w:t>
      </w:r>
      <w:r>
        <w:rPr>
          <w:rFonts w:cs="Arial"/>
        </w:rPr>
        <w:t>mora dovesti u prvobitno stanje;</w:t>
      </w:r>
    </w:p>
    <w:p w:rsidR="005E0351" w:rsidRPr="005E0351" w:rsidRDefault="005E0351" w:rsidP="005E0351">
      <w:pPr>
        <w:pStyle w:val="Bezrazmaka"/>
        <w:jc w:val="both"/>
        <w:textAlignment w:val="auto"/>
        <w:rPr>
          <w:rFonts w:cs="Arial"/>
        </w:rPr>
      </w:pPr>
    </w:p>
    <w:p w:rsidR="008B513A" w:rsidRDefault="008B513A" w:rsidP="005E0351">
      <w:pPr>
        <w:pStyle w:val="Bezrazmaka"/>
        <w:numPr>
          <w:ilvl w:val="0"/>
          <w:numId w:val="2"/>
        </w:numPr>
        <w:jc w:val="both"/>
        <w:textAlignment w:val="auto"/>
        <w:rPr>
          <w:rFonts w:cs="Arial"/>
        </w:rPr>
      </w:pPr>
      <w:r>
        <w:rPr>
          <w:rFonts w:cs="Arial"/>
        </w:rPr>
        <w:t>prije pretakanja goriva p</w:t>
      </w:r>
      <w:r w:rsidR="008002C5" w:rsidRPr="008002C5">
        <w:rPr>
          <w:rFonts w:cs="Arial"/>
        </w:rPr>
        <w:t>rvo se mora iskontrolisati postojeće stanje nivoa goriva i nepropustljivost rezervoara sa uređajem za kontrolu nepropustljivosti</w:t>
      </w:r>
      <w:r>
        <w:rPr>
          <w:rFonts w:cs="Arial"/>
        </w:rPr>
        <w:t>;</w:t>
      </w:r>
    </w:p>
    <w:p w:rsidR="005E0351" w:rsidRPr="005E0351" w:rsidRDefault="005E0351" w:rsidP="005E0351">
      <w:pPr>
        <w:pStyle w:val="Bezrazmaka"/>
        <w:jc w:val="both"/>
        <w:textAlignment w:val="auto"/>
        <w:rPr>
          <w:rFonts w:cs="Arial"/>
        </w:rPr>
      </w:pPr>
    </w:p>
    <w:p w:rsidR="008B513A" w:rsidRDefault="008B513A" w:rsidP="008B513A">
      <w:pPr>
        <w:pStyle w:val="Bezrazmaka"/>
        <w:numPr>
          <w:ilvl w:val="0"/>
          <w:numId w:val="2"/>
        </w:numPr>
        <w:jc w:val="both"/>
        <w:textAlignment w:val="auto"/>
        <w:rPr>
          <w:rFonts w:cs="Arial"/>
        </w:rPr>
      </w:pPr>
      <w:r w:rsidRPr="008B513A">
        <w:rPr>
          <w:rFonts w:cs="Arial"/>
        </w:rPr>
        <w:t>prije početka čišćenja rezervoara izvršiti pražnjenje rezervoara od zaostalog goriva</w:t>
      </w:r>
      <w:r w:rsidR="004175EA">
        <w:rPr>
          <w:rFonts w:cs="Arial"/>
        </w:rPr>
        <w:t>. N</w:t>
      </w:r>
      <w:r>
        <w:rPr>
          <w:rFonts w:cs="Arial"/>
        </w:rPr>
        <w:t xml:space="preserve">astali otpad od čišćenja rezerorva tečnog naftnog gasa se odlaže u za to propisana spremišta. </w:t>
      </w:r>
      <w:r w:rsidR="004175EA" w:rsidRPr="004175EA">
        <w:rPr>
          <w:rFonts w:cs="Arial"/>
        </w:rPr>
        <w:t xml:space="preserve">Čišćenje i </w:t>
      </w:r>
      <w:r w:rsidR="004175EA">
        <w:rPr>
          <w:rFonts w:cs="Arial"/>
        </w:rPr>
        <w:t>kaptažu</w:t>
      </w:r>
      <w:r w:rsidR="004175EA" w:rsidRPr="004175EA">
        <w:rPr>
          <w:rFonts w:cs="Arial"/>
        </w:rPr>
        <w:t xml:space="preserve"> moraju izvoditi obučeni radnici osposobljeni za ovu vrstu </w:t>
      </w:r>
      <w:r w:rsidR="004175EA" w:rsidRPr="004175EA">
        <w:rPr>
          <w:rFonts w:cs="Arial"/>
        </w:rPr>
        <w:lastRenderedPageBreak/>
        <w:t>radova.</w:t>
      </w:r>
      <w:r w:rsidR="004175EA">
        <w:rPr>
          <w:rFonts w:cs="Arial"/>
        </w:rPr>
        <w:t xml:space="preserve"> Nakon završenog čišćenja rezeorvara ovlašćena ustanova izdaje potvrdu da je rezeorvar ispravan za dalju upotrebu;</w:t>
      </w:r>
    </w:p>
    <w:p w:rsidR="004175EA" w:rsidRPr="008B513A" w:rsidRDefault="004175EA" w:rsidP="004175EA">
      <w:pPr>
        <w:pStyle w:val="Bezrazmaka"/>
        <w:jc w:val="both"/>
        <w:textAlignment w:val="auto"/>
        <w:rPr>
          <w:rFonts w:cs="Arial"/>
        </w:rPr>
      </w:pPr>
    </w:p>
    <w:p w:rsidR="0057696E" w:rsidRDefault="005E0351" w:rsidP="0057696E">
      <w:pPr>
        <w:pStyle w:val="Standard"/>
        <w:numPr>
          <w:ilvl w:val="0"/>
          <w:numId w:val="2"/>
        </w:numPr>
        <w:jc w:val="both"/>
      </w:pPr>
      <w:r>
        <w:t>sklopi ugovor</w:t>
      </w:r>
      <w:r w:rsidR="0057696E">
        <w:t xml:space="preserve"> sa ovlašćenim su</w:t>
      </w:r>
      <w:r w:rsidR="004175EA">
        <w:t>bjektom</w:t>
      </w:r>
      <w:r w:rsidR="008002C5">
        <w:t xml:space="preserve"> za upravljanje opasnim</w:t>
      </w:r>
      <w:r w:rsidR="004175EA">
        <w:t xml:space="preserve"> otpadom;</w:t>
      </w:r>
    </w:p>
    <w:p w:rsidR="00596E00" w:rsidRDefault="00596E00" w:rsidP="00596E00">
      <w:pPr>
        <w:pStyle w:val="Standard"/>
        <w:jc w:val="both"/>
      </w:pPr>
    </w:p>
    <w:p w:rsidR="0026081E" w:rsidRDefault="0057696E" w:rsidP="005E0351">
      <w:pPr>
        <w:pStyle w:val="Standard"/>
        <w:numPr>
          <w:ilvl w:val="0"/>
          <w:numId w:val="2"/>
        </w:numPr>
        <w:jc w:val="both"/>
      </w:pPr>
      <w:r>
        <w:t>u</w:t>
      </w:r>
      <w:r w:rsidR="0026081E">
        <w:t xml:space="preserve"> </w:t>
      </w:r>
      <w:r>
        <w:t>slučaju</w:t>
      </w:r>
      <w:r w:rsidR="0026081E">
        <w:t xml:space="preserve"> </w:t>
      </w:r>
      <w:r>
        <w:t xml:space="preserve">izlivanja </w:t>
      </w:r>
      <w:r w:rsidR="000A178C">
        <w:t>goriva</w:t>
      </w:r>
      <w:r>
        <w:t xml:space="preserve"> tokom funkcionisanja projekta potrebno je  </w:t>
      </w:r>
      <w:r>
        <w:br/>
        <w:t xml:space="preserve">primijeniti hitne mjere za saniranje terena na način da se </w:t>
      </w:r>
      <w:r w:rsidR="000A178C">
        <w:t>kontaminirano</w:t>
      </w:r>
      <w:r>
        <w:t xml:space="preserve"> zemljište mora sakupiti kao opasni otpad i odložiti u posude namijenjene za tu vrstu otpada. U ovom slučaju </w:t>
      </w:r>
      <w:proofErr w:type="gramStart"/>
      <w:r>
        <w:t>pri  izlivanju</w:t>
      </w:r>
      <w:proofErr w:type="gramEnd"/>
      <w:r>
        <w:t xml:space="preserve"> potrebno je koristiti odgovarajući materi</w:t>
      </w:r>
      <w:r w:rsidR="005E0351">
        <w:t>j</w:t>
      </w:r>
      <w:r>
        <w:t>al radi absorpcije ulja</w:t>
      </w:r>
      <w:r w:rsidR="005E0351">
        <w:t xml:space="preserve"> kao što su piljevina, </w:t>
      </w:r>
      <w:r w:rsidR="00596E00">
        <w:t xml:space="preserve"> pijesak</w:t>
      </w:r>
      <w:r w:rsidR="005E0351">
        <w:t xml:space="preserve"> ili apsorpcione krpe</w:t>
      </w:r>
      <w:r>
        <w:t xml:space="preserve">. Ovaj </w:t>
      </w:r>
      <w:r w:rsidR="00596E00">
        <w:t xml:space="preserve">opasni </w:t>
      </w:r>
      <w:r>
        <w:t>otpad potrebno je predati ovlašćenom  preduzetniku za ovu vrstu otpad</w:t>
      </w:r>
      <w:r w:rsidR="00596E00">
        <w:t>a;</w:t>
      </w:r>
    </w:p>
    <w:p w:rsidR="005E0351" w:rsidRDefault="005E0351" w:rsidP="005E0351">
      <w:pPr>
        <w:pStyle w:val="Standard"/>
        <w:jc w:val="both"/>
      </w:pPr>
    </w:p>
    <w:p w:rsidR="0026081E" w:rsidRDefault="0026081E" w:rsidP="005E0351">
      <w:pPr>
        <w:pStyle w:val="Standard"/>
        <w:numPr>
          <w:ilvl w:val="0"/>
          <w:numId w:val="2"/>
        </w:numPr>
        <w:jc w:val="both"/>
      </w:pPr>
      <w:r>
        <w:t>obezbijediti sve uslove za sprečavanje izbijanja požara:</w:t>
      </w:r>
    </w:p>
    <w:p w:rsidR="0026081E" w:rsidRDefault="0026081E" w:rsidP="001670DC">
      <w:pPr>
        <w:pStyle w:val="Standard"/>
        <w:numPr>
          <w:ilvl w:val="0"/>
          <w:numId w:val="6"/>
        </w:numPr>
        <w:ind w:left="1418"/>
        <w:jc w:val="both"/>
      </w:pPr>
      <w:r>
        <w:t>zabranjeno je istakanje goriva u toku nevremena i grmljavine;</w:t>
      </w:r>
    </w:p>
    <w:p w:rsidR="0026081E" w:rsidRDefault="0026081E" w:rsidP="001670DC">
      <w:pPr>
        <w:pStyle w:val="Standard"/>
        <w:numPr>
          <w:ilvl w:val="0"/>
          <w:numId w:val="6"/>
        </w:numPr>
        <w:ind w:left="1418"/>
        <w:jc w:val="both"/>
      </w:pPr>
      <w:r>
        <w:t xml:space="preserve">za vrijeme pretakanja </w:t>
      </w:r>
      <w:r w:rsidR="005E0351">
        <w:t>tečnog naftnog gas</w:t>
      </w:r>
      <w:r>
        <w:t>a</w:t>
      </w:r>
      <w:r w:rsidR="005E0351">
        <w:t xml:space="preserve"> (TNG)</w:t>
      </w:r>
      <w:r>
        <w:t xml:space="preserve"> iz autocistijerne u rezervoar na mjestu na kome se vrši pretakanja mora se nalaziti jedan prevozni aparat za gašenje požara kapaciteta punjenja 50kg praha ili drugog odgovarajućeg sredstva. U blizini mjesta na kome postoji mogućnost rasipanja zapaljivih tečnosti mora se postaviti posuda sa pijeskom minimalne zapremine 0,30 m</w:t>
      </w:r>
      <w:r w:rsidRPr="0026081E">
        <w:rPr>
          <w:vertAlign w:val="superscript"/>
        </w:rPr>
        <w:t>3</w:t>
      </w:r>
      <w:r>
        <w:t>;</w:t>
      </w:r>
    </w:p>
    <w:p w:rsidR="0026081E" w:rsidRDefault="0026081E" w:rsidP="001670DC">
      <w:pPr>
        <w:pStyle w:val="Standard"/>
        <w:numPr>
          <w:ilvl w:val="0"/>
          <w:numId w:val="6"/>
        </w:numPr>
        <w:ind w:left="1418"/>
        <w:jc w:val="both"/>
      </w:pPr>
      <w:r>
        <w:t>na vidnim i pristupačnim mjestima, na površinama pored rezervoara  postaviti znake upozerenja sa sledećim natpisom:</w:t>
      </w:r>
    </w:p>
    <w:p w:rsidR="0026081E" w:rsidRDefault="0026081E" w:rsidP="001670DC">
      <w:pPr>
        <w:pStyle w:val="Standard"/>
        <w:numPr>
          <w:ilvl w:val="0"/>
          <w:numId w:val="7"/>
        </w:numPr>
        <w:tabs>
          <w:tab w:val="left" w:pos="1843"/>
        </w:tabs>
        <w:ind w:left="1843"/>
        <w:jc w:val="both"/>
      </w:pPr>
      <w:r>
        <w:t>,,zabranjeno pušenje,,</w:t>
      </w:r>
    </w:p>
    <w:p w:rsidR="0026081E" w:rsidRDefault="0026081E" w:rsidP="001670DC">
      <w:pPr>
        <w:pStyle w:val="Standard"/>
        <w:numPr>
          <w:ilvl w:val="0"/>
          <w:numId w:val="7"/>
        </w:numPr>
        <w:tabs>
          <w:tab w:val="left" w:pos="1843"/>
        </w:tabs>
        <w:ind w:left="1843"/>
        <w:jc w:val="both"/>
      </w:pPr>
      <w:r>
        <w:t>,,zabranjena upotreba aparata koji varniče,,</w:t>
      </w:r>
    </w:p>
    <w:p w:rsidR="0026081E" w:rsidRDefault="0026081E" w:rsidP="001670DC">
      <w:pPr>
        <w:pStyle w:val="Standard"/>
        <w:numPr>
          <w:ilvl w:val="0"/>
          <w:numId w:val="7"/>
        </w:numPr>
        <w:tabs>
          <w:tab w:val="left" w:pos="1843"/>
        </w:tabs>
        <w:ind w:left="1843"/>
        <w:jc w:val="both"/>
      </w:pPr>
      <w:r>
        <w:t>,,opasnost od požara i eksplozije,,</w:t>
      </w:r>
    </w:p>
    <w:p w:rsidR="0026081E" w:rsidRDefault="0026081E" w:rsidP="001670DC">
      <w:pPr>
        <w:pStyle w:val="Standard"/>
        <w:numPr>
          <w:ilvl w:val="0"/>
          <w:numId w:val="7"/>
        </w:numPr>
        <w:tabs>
          <w:tab w:val="left" w:pos="1843"/>
        </w:tabs>
        <w:ind w:left="1843"/>
        <w:jc w:val="both"/>
      </w:pPr>
      <w:r>
        <w:t>,,stop, cistijerna priključena,,</w:t>
      </w:r>
    </w:p>
    <w:p w:rsidR="0026081E" w:rsidRDefault="0026081E" w:rsidP="001670DC">
      <w:pPr>
        <w:pStyle w:val="Standard"/>
        <w:numPr>
          <w:ilvl w:val="0"/>
          <w:numId w:val="7"/>
        </w:numPr>
        <w:tabs>
          <w:tab w:val="left" w:pos="1843"/>
        </w:tabs>
        <w:ind w:left="1843"/>
        <w:jc w:val="both"/>
      </w:pPr>
      <w:r>
        <w:t>,,nezaposlenima pristup zabranjen,,</w:t>
      </w:r>
    </w:p>
    <w:p w:rsidR="00605C6E" w:rsidRDefault="00605C6E" w:rsidP="005E0351">
      <w:pPr>
        <w:pStyle w:val="Pasussalistom"/>
        <w:widowControl w:val="0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</w:p>
    <w:p w:rsidR="00605C6E" w:rsidRPr="0026081E" w:rsidRDefault="005E0351" w:rsidP="00973F27">
      <w:pPr>
        <w:pStyle w:val="Pasussalistom"/>
        <w:widowControl w:val="0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u slučaju izbijanja požara potrebno je isključiti uređa</w:t>
      </w:r>
      <w:r w:rsidR="00605C6E">
        <w:rPr>
          <w:rFonts w:ascii="Times New Roman" w:hAnsi="Times New Roman" w:cs="Times New Roman"/>
          <w:sz w:val="24"/>
          <w:szCs w:val="28"/>
        </w:rPr>
        <w:t>je sa elektrodistributivne mreže i gasiti požar ručnim prenosnim aparatima za gašenje. Ukoliko se na ovaj način ne ugasi požar onda je neophodno obavijestiti nadležnu službu zaštite i spašavanja;</w:t>
      </w:r>
    </w:p>
    <w:p w:rsidR="0026081E" w:rsidRDefault="0026081E" w:rsidP="0026081E">
      <w:pPr>
        <w:pStyle w:val="Standard"/>
        <w:ind w:left="1080"/>
        <w:jc w:val="both"/>
      </w:pPr>
    </w:p>
    <w:p w:rsidR="00973F27" w:rsidRDefault="0057696E" w:rsidP="0026081E">
      <w:pPr>
        <w:pStyle w:val="Standard"/>
        <w:numPr>
          <w:ilvl w:val="0"/>
          <w:numId w:val="2"/>
        </w:numPr>
        <w:jc w:val="both"/>
      </w:pPr>
      <w:r>
        <w:t xml:space="preserve">gubitak zelene površine </w:t>
      </w:r>
      <w:r w:rsidR="00973F27">
        <w:t xml:space="preserve">i prisutnog ekosistema </w:t>
      </w:r>
      <w:r>
        <w:t xml:space="preserve">nadomjestiti sadnjom autohtone drvenatse </w:t>
      </w:r>
      <w:r w:rsidR="00973F27">
        <w:t xml:space="preserve">vegetacije na </w:t>
      </w:r>
      <w:r>
        <w:t xml:space="preserve">predmetnoj lokaciji (hrast, jasen, grab, nar, košćela, lipa, </w:t>
      </w:r>
      <w:r w:rsidR="00973F27">
        <w:t>brijest);</w:t>
      </w:r>
    </w:p>
    <w:p w:rsidR="0026081E" w:rsidRDefault="0026081E" w:rsidP="0026081E">
      <w:pPr>
        <w:pStyle w:val="Standard"/>
        <w:jc w:val="both"/>
      </w:pPr>
    </w:p>
    <w:p w:rsidR="00973F27" w:rsidRDefault="00973F27" w:rsidP="0057696E">
      <w:pPr>
        <w:pStyle w:val="Standard"/>
        <w:numPr>
          <w:ilvl w:val="0"/>
          <w:numId w:val="2"/>
        </w:numPr>
        <w:jc w:val="both"/>
      </w:pPr>
      <w:r w:rsidRPr="00973F27">
        <w:t>ukoliko dođe do akcidenta, koji može ugroziti životnu sredinu, prilikom izvođenja, funkcionisanja ili prestanka funkcionisanja projekta, nosilac projekta je dužan obavijestiti nadležni organ</w:t>
      </w:r>
      <w:r w:rsidR="006F6AE2">
        <w:t xml:space="preserve"> državne i</w:t>
      </w:r>
      <w:r>
        <w:t xml:space="preserve"> lokalne uprave</w:t>
      </w:r>
      <w:r w:rsidRPr="00973F27">
        <w:t>.</w:t>
      </w:r>
      <w:r w:rsidR="0057696E">
        <w:t xml:space="preserve">           </w:t>
      </w:r>
    </w:p>
    <w:p w:rsidR="0057696E" w:rsidRDefault="0057696E" w:rsidP="00973F27">
      <w:pPr>
        <w:pStyle w:val="Standard"/>
        <w:jc w:val="both"/>
      </w:pPr>
      <w:r>
        <w:t xml:space="preserve">                          </w:t>
      </w:r>
    </w:p>
    <w:p w:rsidR="00973F27" w:rsidRDefault="00973F27" w:rsidP="00973F27">
      <w:pPr>
        <w:pStyle w:val="Standard"/>
        <w:jc w:val="both"/>
      </w:pPr>
    </w:p>
    <w:p w:rsidR="0057696E" w:rsidRDefault="0057696E" w:rsidP="0057696E">
      <w:pPr>
        <w:pStyle w:val="Standard"/>
        <w:numPr>
          <w:ilvl w:val="0"/>
          <w:numId w:val="1"/>
        </w:numPr>
        <w:jc w:val="both"/>
      </w:pPr>
      <w:r>
        <w:t>Nosilac projekta je dužan ovo rješenje dati na uvid obrađivaču tehničke dokumentacije, kako bi se navedene mjere ispoštovale pri implementaciji tehničke dokumentacije i iste provjerile u postupku tehničke kontrole i tehničkog pregleda projekta.</w:t>
      </w:r>
    </w:p>
    <w:p w:rsidR="0057696E" w:rsidRDefault="0057696E" w:rsidP="0057696E">
      <w:pPr>
        <w:pStyle w:val="Standard"/>
        <w:jc w:val="both"/>
        <w:rPr>
          <w:b/>
        </w:rPr>
      </w:pPr>
    </w:p>
    <w:p w:rsidR="0057696E" w:rsidRDefault="0057696E" w:rsidP="0057696E">
      <w:pPr>
        <w:pStyle w:val="Standard"/>
        <w:numPr>
          <w:ilvl w:val="0"/>
          <w:numId w:val="1"/>
        </w:numPr>
        <w:jc w:val="both"/>
      </w:pPr>
      <w:r>
        <w:t>Nalaže se nosiocu projekta, Draganu Markoviću, da u slučaju prenamjene projekta ili proširenja kapaciteta izvedenog projekta, podnese zahtjev nadležnom organu za odlučivanje o potrebi procjene uticaja na životnu sredinu.</w:t>
      </w:r>
    </w:p>
    <w:p w:rsidR="0057696E" w:rsidRDefault="0057696E" w:rsidP="0057696E">
      <w:pPr>
        <w:pStyle w:val="Standard"/>
        <w:jc w:val="both"/>
      </w:pPr>
    </w:p>
    <w:p w:rsidR="0057696E" w:rsidRDefault="0057696E" w:rsidP="0057696E">
      <w:pPr>
        <w:pStyle w:val="Standard"/>
        <w:jc w:val="center"/>
        <w:rPr>
          <w:b/>
        </w:rPr>
      </w:pPr>
      <w:r>
        <w:rPr>
          <w:b/>
        </w:rPr>
        <w:t>O b r a z l o ž e nj e</w:t>
      </w:r>
    </w:p>
    <w:p w:rsidR="0057696E" w:rsidRDefault="0057696E" w:rsidP="0057696E">
      <w:pPr>
        <w:pStyle w:val="Standard"/>
        <w:rPr>
          <w:b/>
        </w:rPr>
      </w:pPr>
    </w:p>
    <w:p w:rsidR="0057696E" w:rsidRDefault="0057696E" w:rsidP="0057696E">
      <w:pPr>
        <w:pStyle w:val="Bezrazmaka"/>
        <w:jc w:val="both"/>
      </w:pPr>
      <w:r>
        <w:t xml:space="preserve">Nosilac projekta, Dragan Marković, obratio se Sekretarijatu za urbanizam, komunalne, stambene poslove, saobraćaj i zaštitu </w:t>
      </w:r>
      <w:r w:rsidR="005E0351">
        <w:t>životne sredine zahtjevom br. 06-399/1 od 30.04.2018</w:t>
      </w:r>
      <w:r>
        <w:t xml:space="preserve">. godine, za odlučivanje o potrebi procjene uticaja na životnu sredinu </w:t>
      </w:r>
      <w:r w:rsidR="005E0351">
        <w:t xml:space="preserve">za </w:t>
      </w:r>
      <w:r w:rsidR="005E0351" w:rsidRPr="00DF5AF6">
        <w:t>podzemni rezervoar sa TNG-om</w:t>
      </w:r>
      <w:r w:rsidR="00C47F3D">
        <w:t xml:space="preserve"> (tečni </w:t>
      </w:r>
      <w:r w:rsidR="00C47F3D">
        <w:lastRenderedPageBreak/>
        <w:t>naftni gas)</w:t>
      </w:r>
      <w:r w:rsidR="005E0351" w:rsidRPr="00DF5AF6">
        <w:t xml:space="preserve"> od</w:t>
      </w:r>
      <w:r w:rsidR="005E0351">
        <w:t xml:space="preserve"> 30 m</w:t>
      </w:r>
      <w:r w:rsidR="005E0351" w:rsidRPr="00DF5AF6">
        <w:rPr>
          <w:vertAlign w:val="superscript"/>
        </w:rPr>
        <w:t>3</w:t>
      </w:r>
      <w:r w:rsidR="005E0351">
        <w:t xml:space="preserve"> za potrebe </w:t>
      </w:r>
      <w:r w:rsidR="005E0351" w:rsidRPr="00DF5AF6">
        <w:t xml:space="preserve">pogona za proizvodnju kafe </w:t>
      </w:r>
      <w:r w:rsidR="005E0351">
        <w:t>koji se nalazi na kat. parceli br. 1353/11, KO Novo Selo, opština Danilovgrad</w:t>
      </w:r>
      <w:r>
        <w:t>.</w:t>
      </w:r>
    </w:p>
    <w:p w:rsidR="0057696E" w:rsidRDefault="0057696E" w:rsidP="0057696E">
      <w:pPr>
        <w:pStyle w:val="Standard"/>
        <w:jc w:val="both"/>
      </w:pPr>
    </w:p>
    <w:p w:rsidR="0057696E" w:rsidRDefault="00375855" w:rsidP="0057696E">
      <w:pPr>
        <w:pStyle w:val="Standard"/>
        <w:jc w:val="both"/>
      </w:pPr>
      <w:r w:rsidRPr="00375855">
        <w:t>Postupajući po zahtjevu nosioca projekta, a shodno odredbama člana 12 Zakona o procjeni uticaja na životnu sredinu („Sl. list RCG“, br. 80/05 i „Sl. list CG“, br. 40/10, 73/10, 40/11, 27/13 i 52/16) Sekretarijat za urbanizam, komunalne, stambene poslove, saobraćaj i zaštitu životne sredine obavijestio je zainteresovane organe, organizacije i javnost, organizovao javni uvid i obezbijedio dostupnost podataka i dokumentacije nosioca projekta.</w:t>
      </w:r>
    </w:p>
    <w:p w:rsidR="00375855" w:rsidRDefault="00375855" w:rsidP="0057696E">
      <w:pPr>
        <w:pStyle w:val="Standard"/>
        <w:jc w:val="both"/>
      </w:pPr>
    </w:p>
    <w:p w:rsidR="0057696E" w:rsidRDefault="0057696E" w:rsidP="0057696E">
      <w:pPr>
        <w:pStyle w:val="Standard"/>
        <w:jc w:val="both"/>
      </w:pPr>
      <w:r>
        <w:t>Razmatranjem zahtjeva nosioca projekta i podataka o predmetnoj lokaciji, karakteristikama i mogućim uticajima navedenog projekta na životnu sredinu, Sekretarijat za urbanizam, komunalne, stambene poslove, saobraćaj i zaštitu životne sredine utvrdio je razloge za donošenje ovog rješenja:</w:t>
      </w:r>
    </w:p>
    <w:p w:rsidR="0057696E" w:rsidRDefault="0057696E" w:rsidP="0057696E">
      <w:pPr>
        <w:pStyle w:val="Standard"/>
        <w:jc w:val="both"/>
      </w:pPr>
    </w:p>
    <w:p w:rsidR="00375855" w:rsidRDefault="0057696E" w:rsidP="0057696E">
      <w:pPr>
        <w:pStyle w:val="Bezrazmaka"/>
        <w:numPr>
          <w:ilvl w:val="0"/>
          <w:numId w:val="3"/>
        </w:numPr>
        <w:jc w:val="both"/>
      </w:pPr>
      <w:r>
        <w:t xml:space="preserve">navedenim projektom planirana je izgradnja </w:t>
      </w:r>
      <w:r w:rsidR="00375855">
        <w:t>podzemnog rezervoar za tečni naftni gas</w:t>
      </w:r>
      <w:r w:rsidR="00375855" w:rsidRPr="00375855">
        <w:t xml:space="preserve"> od 30 m</w:t>
      </w:r>
      <w:r w:rsidR="00375855" w:rsidRPr="00375855">
        <w:rPr>
          <w:vertAlign w:val="superscript"/>
        </w:rPr>
        <w:t>3</w:t>
      </w:r>
      <w:r w:rsidR="00375855" w:rsidRPr="00375855">
        <w:t xml:space="preserve"> za potrebe pogona za proizvodnju kafe koji se nalazi na kat. parceli br. 1353/11, KO</w:t>
      </w:r>
      <w:r w:rsidR="00375855">
        <w:t xml:space="preserve"> Novo Selo, opština Danilovgrad,</w:t>
      </w:r>
    </w:p>
    <w:p w:rsidR="005070E2" w:rsidRDefault="005070E2" w:rsidP="005070E2">
      <w:pPr>
        <w:pStyle w:val="Bezrazmaka"/>
        <w:ind w:left="360"/>
        <w:jc w:val="both"/>
      </w:pPr>
    </w:p>
    <w:p w:rsidR="002C5201" w:rsidRPr="002C5201" w:rsidRDefault="00EB52BE" w:rsidP="002C520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rezeorvar se planira smjestiti</w:t>
      </w:r>
      <w:r w:rsidRPr="00EB52BE">
        <w:rPr>
          <w:rFonts w:ascii="Times New Roman" w:hAnsi="Times New Roman" w:cs="Times New Roman"/>
          <w:sz w:val="24"/>
        </w:rPr>
        <w:t xml:space="preserve"> u rovu dimenzija (d x š x v</w:t>
      </w:r>
      <w:r w:rsidR="00660D7A">
        <w:rPr>
          <w:rFonts w:ascii="Times New Roman" w:hAnsi="Times New Roman" w:cs="Times New Roman"/>
          <w:sz w:val="24"/>
        </w:rPr>
        <w:t>) 650 x 280 x 370 cm i postaviti</w:t>
      </w:r>
      <w:r w:rsidRPr="00EB52BE">
        <w:rPr>
          <w:rFonts w:ascii="Times New Roman" w:hAnsi="Times New Roman" w:cs="Times New Roman"/>
          <w:sz w:val="24"/>
        </w:rPr>
        <w:t xml:space="preserve"> na betonske temelje dimenzija 250 x 50 x 100 cm</w:t>
      </w:r>
      <w:r w:rsidR="00660D7A">
        <w:rPr>
          <w:rFonts w:ascii="Times New Roman" w:hAnsi="Times New Roman" w:cs="Times New Roman"/>
          <w:sz w:val="24"/>
        </w:rPr>
        <w:t xml:space="preserve">, urađene od armiranog betona, a zatim zasut </w:t>
      </w:r>
      <w:r w:rsidRPr="002C5201">
        <w:rPr>
          <w:rFonts w:ascii="Times New Roman" w:hAnsi="Times New Roman" w:cs="Times New Roman"/>
          <w:sz w:val="24"/>
          <w:szCs w:val="24"/>
        </w:rPr>
        <w:t>sit</w:t>
      </w:r>
      <w:r w:rsidR="00660D7A" w:rsidRPr="002C5201">
        <w:rPr>
          <w:rFonts w:ascii="Times New Roman" w:hAnsi="Times New Roman" w:cs="Times New Roman"/>
          <w:sz w:val="24"/>
          <w:szCs w:val="24"/>
        </w:rPr>
        <w:t>nim pijeskom granulacije 1-3 mm,</w:t>
      </w:r>
    </w:p>
    <w:p w:rsidR="00EB52BE" w:rsidRDefault="002C5201" w:rsidP="002C520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60D7A" w:rsidRPr="002C5201">
        <w:rPr>
          <w:rFonts w:ascii="Times New Roman" w:hAnsi="Times New Roman" w:cs="Times New Roman"/>
          <w:sz w:val="24"/>
          <w:szCs w:val="24"/>
        </w:rPr>
        <w:t>ezeovra za TNG će biti instaliran u skladu sa odredbama Pravilnika o izgradnji postrojenja za tečni naftni gas i o uskladištavanju i pretakanju tečnog naftnog gasa (“Službeni list SFRJ", br. 24/71 i 26/71),</w:t>
      </w:r>
    </w:p>
    <w:p w:rsidR="00212BCF" w:rsidRDefault="00212BCF" w:rsidP="002C520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12BCF">
        <w:rPr>
          <w:rFonts w:ascii="Times New Roman" w:hAnsi="Times New Roman" w:cs="Times New Roman"/>
          <w:sz w:val="24"/>
          <w:szCs w:val="24"/>
        </w:rPr>
        <w:t>ored skladišnog podzemnog rezervoara predviđena je ugradnja pretakačk</w:t>
      </w:r>
      <w:r>
        <w:rPr>
          <w:rFonts w:ascii="Times New Roman" w:hAnsi="Times New Roman" w:cs="Times New Roman"/>
          <w:sz w:val="24"/>
          <w:szCs w:val="24"/>
        </w:rPr>
        <w:t>og mosta - pumpnog postrojenja</w:t>
      </w:r>
      <w:r w:rsidRPr="00212BCF">
        <w:rPr>
          <w:rFonts w:ascii="Times New Roman" w:hAnsi="Times New Roman" w:cs="Times New Roman"/>
          <w:sz w:val="24"/>
          <w:szCs w:val="24"/>
        </w:rPr>
        <w:t>, armatura i cijevna instalacija, koja služi za pretakanje TNG-a iz transpo</w:t>
      </w:r>
      <w:r>
        <w:rPr>
          <w:rFonts w:ascii="Times New Roman" w:hAnsi="Times New Roman" w:cs="Times New Roman"/>
          <w:sz w:val="24"/>
          <w:szCs w:val="24"/>
        </w:rPr>
        <w:t>rtne auto-cistijerne u podzemni. Tako je predviđeno p</w:t>
      </w:r>
      <w:r w:rsidRPr="00212BCF">
        <w:rPr>
          <w:rFonts w:ascii="Times New Roman" w:hAnsi="Times New Roman" w:cs="Times New Roman"/>
          <w:sz w:val="24"/>
          <w:szCs w:val="24"/>
        </w:rPr>
        <w:t>retakalište iz auto - cistijerne u podzemni rezervoar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2BCF" w:rsidRPr="002C5201" w:rsidRDefault="00212BCF" w:rsidP="002C520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predviđene su mjere održavanja rezeorvara, njegove kontrole i načina preventivnog djelovanja u cilju </w:t>
      </w:r>
      <w:r w:rsidR="00742EA6">
        <w:rPr>
          <w:rFonts w:ascii="Times New Roman" w:hAnsi="Times New Roman" w:cs="Times New Roman"/>
          <w:sz w:val="24"/>
          <w:szCs w:val="24"/>
        </w:rPr>
        <w:t>izbjegavanja pojave požara kao i neophodna oprema za u slučaju izbijanja požara,</w:t>
      </w:r>
    </w:p>
    <w:p w:rsidR="0057696E" w:rsidRDefault="0057696E" w:rsidP="0057696E">
      <w:pPr>
        <w:pStyle w:val="Standard"/>
        <w:numPr>
          <w:ilvl w:val="0"/>
          <w:numId w:val="3"/>
        </w:numPr>
        <w:jc w:val="both"/>
      </w:pPr>
      <w:r>
        <w:t>glavni negativni uticaj se ogleda u trajnom zauzimanju zemljišta</w:t>
      </w:r>
      <w:r w:rsidR="00375855">
        <w:t xml:space="preserve"> na predmetnoj parceli, stvaranje buke tokom punjenja rezeorvara odnosno pretakanja TNG-a iz cistijerni u rezeorvar i emitovanje izduvnih gazova od motornih vozila </w:t>
      </w:r>
      <w:r w:rsidR="006A6841">
        <w:t>tokom punjenja rezeorvara</w:t>
      </w:r>
      <w:r>
        <w:t>,</w:t>
      </w:r>
    </w:p>
    <w:p w:rsidR="005070E2" w:rsidRDefault="005070E2" w:rsidP="005070E2">
      <w:pPr>
        <w:pStyle w:val="Standard"/>
        <w:ind w:left="360"/>
        <w:jc w:val="both"/>
      </w:pPr>
    </w:p>
    <w:p w:rsidR="0057696E" w:rsidRDefault="005070E2" w:rsidP="0057696E">
      <w:pPr>
        <w:pStyle w:val="Standard"/>
        <w:numPr>
          <w:ilvl w:val="0"/>
          <w:numId w:val="3"/>
        </w:numPr>
        <w:jc w:val="both"/>
      </w:pPr>
      <w:r>
        <w:t>tokom izvođ</w:t>
      </w:r>
      <w:r w:rsidR="0057696E">
        <w:t>enja i funkcionisanja projekta neće doći do zagadjivanja površinskih i podzemnih voda poštovanjem propisanih mjera za neutralisanje i smanjenje negativnog uticaja,</w:t>
      </w:r>
    </w:p>
    <w:p w:rsidR="005070E2" w:rsidRDefault="005070E2" w:rsidP="005070E2">
      <w:pPr>
        <w:pStyle w:val="Standard"/>
        <w:jc w:val="both"/>
      </w:pPr>
    </w:p>
    <w:p w:rsidR="006A6841" w:rsidRDefault="006A6841" w:rsidP="0057696E">
      <w:pPr>
        <w:pStyle w:val="Standard"/>
        <w:numPr>
          <w:ilvl w:val="0"/>
          <w:numId w:val="3"/>
        </w:numPr>
        <w:jc w:val="both"/>
      </w:pPr>
      <w:r>
        <w:t>otpad koji nastaje tokom održavanja rezeorvara biće uredno skladišten u propisana spremišta i ustupan ovlašćenom subjektu shodno potpisanom ugovoru između istog i investitora,</w:t>
      </w:r>
    </w:p>
    <w:p w:rsidR="005070E2" w:rsidRDefault="005070E2" w:rsidP="005070E2">
      <w:pPr>
        <w:pStyle w:val="Standard"/>
        <w:jc w:val="both"/>
      </w:pPr>
    </w:p>
    <w:p w:rsidR="0057696E" w:rsidRPr="005070E2" w:rsidRDefault="0057696E" w:rsidP="0057696E">
      <w:pPr>
        <w:pStyle w:val="Standard"/>
        <w:numPr>
          <w:ilvl w:val="0"/>
          <w:numId w:val="3"/>
        </w:numPr>
        <w:jc w:val="both"/>
      </w:pPr>
      <w:r>
        <w:rPr>
          <w:rFonts w:eastAsia="Calibri"/>
        </w:rPr>
        <w:t>glavni emiter buke na ovom području je magistralni put M18 i okoln</w:t>
      </w:r>
      <w:r w:rsidR="006A6841">
        <w:rPr>
          <w:rFonts w:eastAsia="Calibri"/>
        </w:rPr>
        <w:t>i poslovno-industrijski objekti što znači da je buka koja nastaje radom motornih vozila tokom punjenja rezeorvara privremena i zanemarljiva u odnosu na intezitet i kontinualnost buke koja potiče od magistralnog puta M18,</w:t>
      </w:r>
    </w:p>
    <w:p w:rsidR="005070E2" w:rsidRDefault="005070E2" w:rsidP="005070E2">
      <w:pPr>
        <w:pStyle w:val="Standard"/>
        <w:jc w:val="both"/>
      </w:pPr>
    </w:p>
    <w:p w:rsidR="0057696E" w:rsidRPr="005070E2" w:rsidRDefault="0057696E" w:rsidP="0057696E">
      <w:pPr>
        <w:pStyle w:val="Standard"/>
        <w:numPr>
          <w:ilvl w:val="0"/>
          <w:numId w:val="3"/>
        </w:numPr>
        <w:jc w:val="both"/>
      </w:pPr>
      <w:r>
        <w:rPr>
          <w:rFonts w:eastAsia="Calibri"/>
        </w:rPr>
        <w:t xml:space="preserve">u slučaju </w:t>
      </w:r>
      <w:r w:rsidR="006A6841">
        <w:rPr>
          <w:rFonts w:eastAsia="Calibri"/>
        </w:rPr>
        <w:t>izlivanja TNG-a</w:t>
      </w:r>
      <w:r>
        <w:rPr>
          <w:rFonts w:eastAsia="Calibri"/>
        </w:rPr>
        <w:t xml:space="preserve"> biće preduzete potrebne mjere u cilju sprečavanja spiranja istih u </w:t>
      </w:r>
      <w:r w:rsidR="006A6841">
        <w:rPr>
          <w:rFonts w:eastAsia="Calibri"/>
        </w:rPr>
        <w:t>prisutne</w:t>
      </w:r>
      <w:r>
        <w:rPr>
          <w:rFonts w:eastAsia="Calibri"/>
        </w:rPr>
        <w:t xml:space="preserve"> recipijente,</w:t>
      </w:r>
    </w:p>
    <w:p w:rsidR="005070E2" w:rsidRDefault="005070E2" w:rsidP="005070E2">
      <w:pPr>
        <w:pStyle w:val="Standard"/>
        <w:jc w:val="both"/>
      </w:pPr>
    </w:p>
    <w:p w:rsidR="005070E2" w:rsidRDefault="006A6841" w:rsidP="005070E2">
      <w:pPr>
        <w:pStyle w:val="Standard"/>
        <w:numPr>
          <w:ilvl w:val="0"/>
          <w:numId w:val="3"/>
        </w:numPr>
        <w:jc w:val="both"/>
      </w:pPr>
      <w:r>
        <w:rPr>
          <w:rFonts w:eastAsia="Calibri"/>
        </w:rPr>
        <w:t>priroda objekta ne podrazumijeva nastajanje tehnoloških otpadnih voda,</w:t>
      </w:r>
    </w:p>
    <w:p w:rsidR="005070E2" w:rsidRDefault="005070E2" w:rsidP="005070E2">
      <w:pPr>
        <w:pStyle w:val="Standard"/>
        <w:jc w:val="both"/>
      </w:pPr>
    </w:p>
    <w:p w:rsidR="0057696E" w:rsidRDefault="0057696E" w:rsidP="0057696E">
      <w:pPr>
        <w:pStyle w:val="Standard"/>
        <w:numPr>
          <w:ilvl w:val="0"/>
          <w:numId w:val="3"/>
        </w:numPr>
        <w:jc w:val="both"/>
      </w:pPr>
      <w:r>
        <w:lastRenderedPageBreak/>
        <w:t xml:space="preserve">uzimajući u obzir raspoloživu dokumentaciju i podatke o karakteristikama planiranog projekta i </w:t>
      </w:r>
      <w:r>
        <w:br/>
        <w:t xml:space="preserve">predmetne lokacije, važeće tehničke normative i standarde propisane za izgradnju, korišćenje i održavanje ove vrste objekata, kao i odgovarajuće mjere zaštite utvrđene u tački II dispozitiva ovog rješenja, ne očekuje se značajni negativni uticaj na segmente životne sredine u toku izvođenja i funkcionisanja predmetnog </w:t>
      </w:r>
      <w:r w:rsidR="006A6841">
        <w:t>objekta</w:t>
      </w:r>
      <w:r>
        <w:t>.</w:t>
      </w:r>
    </w:p>
    <w:p w:rsidR="0057696E" w:rsidRDefault="0057696E" w:rsidP="0057696E">
      <w:pPr>
        <w:pStyle w:val="Standard"/>
        <w:jc w:val="both"/>
      </w:pPr>
    </w:p>
    <w:p w:rsidR="005070E2" w:rsidRPr="002D293C" w:rsidRDefault="005070E2" w:rsidP="005070E2">
      <w:pPr>
        <w:pStyle w:val="Bezrazmaka"/>
        <w:jc w:val="both"/>
      </w:pPr>
      <w:r w:rsidRPr="002D293C">
        <w:t>Imajući u vidu prethodno navedeno, a na osnovu sprovedenog postupka, razmatranja zahtjeva nosioca projekta i uvida u dostavljenu dokumentaciju, kao i primjenom odredaba člana 13, a u vezi sa članom 5 stav 1 tačka 2 Zakona o procjeni uticaja na životnu sredinu („Sl. list RCG“, br. 80/05 i „Sl. list CG“, br. 40/10, 73/10, 40/11,27/13 i 52/16) i člana 18 Zakona o upravnom postupku („Sl. list CG“, br. 56/14, 20/15, 40/16 i 37/17) odlučeno je kao u dispozitivu ovog rješenja.</w:t>
      </w:r>
    </w:p>
    <w:p w:rsidR="005070E2" w:rsidRPr="002D293C" w:rsidRDefault="005070E2" w:rsidP="005070E2">
      <w:pPr>
        <w:pStyle w:val="Bezrazmaka"/>
        <w:jc w:val="both"/>
      </w:pPr>
    </w:p>
    <w:p w:rsidR="005070E2" w:rsidRPr="002D293C" w:rsidRDefault="005070E2" w:rsidP="005070E2">
      <w:pPr>
        <w:pStyle w:val="Bezrazmaka"/>
        <w:jc w:val="both"/>
      </w:pPr>
      <w:r w:rsidRPr="002D293C">
        <w:t xml:space="preserve">           Ovim rješenjem su utvrđene mjere za sprječavanje mogućih štetnih uticaja na životnu sredinu u toku eksploatacije projekta i nalože se nosiocu projekta da ovo rješenje da na uvid obrađivaču tehničke dokumentacije, kako bi se navedene mjere ispoštavale pri izradi i implementaciji tehničke dokumentacije i provjerile u postupku tehničke kontrole i tehničkog pregleda projekta.</w:t>
      </w:r>
    </w:p>
    <w:p w:rsidR="005070E2" w:rsidRPr="002D293C" w:rsidRDefault="005070E2" w:rsidP="005070E2">
      <w:pPr>
        <w:pStyle w:val="Bezrazmaka"/>
        <w:jc w:val="both"/>
      </w:pPr>
    </w:p>
    <w:p w:rsidR="005070E2" w:rsidRPr="002D293C" w:rsidRDefault="005070E2" w:rsidP="005070E2">
      <w:pPr>
        <w:pStyle w:val="Bezrazmaka"/>
        <w:jc w:val="both"/>
      </w:pPr>
      <w:r w:rsidRPr="002D293C">
        <w:t xml:space="preserve">           Takođe, rješenjem je utvrđena obaveza nosioca projekta da u slučaju prenamjene ili proširenja kapaciteta izvedenog projekta, podnese zahtjev nadležnom organu za odlučivanje o potrebi procjene uticaja na životnu sredinu.</w:t>
      </w:r>
    </w:p>
    <w:p w:rsidR="005070E2" w:rsidRPr="002D293C" w:rsidRDefault="005070E2" w:rsidP="005070E2">
      <w:pPr>
        <w:pStyle w:val="Bezrazmaka"/>
        <w:jc w:val="both"/>
      </w:pPr>
    </w:p>
    <w:p w:rsidR="005070E2" w:rsidRPr="002D293C" w:rsidRDefault="005070E2" w:rsidP="005070E2">
      <w:pPr>
        <w:pStyle w:val="Bezrazmaka"/>
        <w:jc w:val="both"/>
      </w:pPr>
      <w:r w:rsidRPr="00B851E6">
        <w:rPr>
          <w:b/>
        </w:rPr>
        <w:t>UPUTSTVO O PRAVNOJ ZAŠTITI:</w:t>
      </w:r>
      <w:r w:rsidRPr="002D293C">
        <w:t xml:space="preserve"> Protiv ovog rješenja može se izjavi</w:t>
      </w:r>
      <w:r>
        <w:t xml:space="preserve">ti žalba Glavnom administratoru </w:t>
      </w:r>
      <w:r w:rsidRPr="002D293C">
        <w:t xml:space="preserve">u </w:t>
      </w:r>
      <w:r>
        <w:t xml:space="preserve">roku od </w:t>
      </w:r>
      <w:r w:rsidRPr="002D293C">
        <w:t>15 dana od dana prijema istog. Žalba se predaje preko ovog sek</w:t>
      </w:r>
      <w:r>
        <w:t xml:space="preserve">retarijata </w:t>
      </w:r>
      <w:proofErr w:type="gramStart"/>
      <w:r>
        <w:t xml:space="preserve">i  </w:t>
      </w:r>
      <w:r w:rsidRPr="002D293C">
        <w:t>taksira</w:t>
      </w:r>
      <w:proofErr w:type="gramEnd"/>
      <w:r w:rsidRPr="002D293C">
        <w:t xml:space="preserve"> sa 5,00 € administrativne takse.</w:t>
      </w:r>
    </w:p>
    <w:p w:rsidR="005070E2" w:rsidRPr="002D293C" w:rsidRDefault="005070E2" w:rsidP="005070E2">
      <w:pPr>
        <w:pStyle w:val="Bezrazmaka"/>
        <w:jc w:val="both"/>
      </w:pPr>
    </w:p>
    <w:p w:rsidR="005070E2" w:rsidRPr="00B851E6" w:rsidRDefault="005070E2" w:rsidP="005070E2">
      <w:pPr>
        <w:pStyle w:val="Bezrazmaka"/>
        <w:jc w:val="both"/>
        <w:rPr>
          <w:b/>
        </w:rPr>
      </w:pPr>
      <w:r w:rsidRPr="00B851E6">
        <w:rPr>
          <w:b/>
        </w:rPr>
        <w:t xml:space="preserve">Obradio/la:                                                </w:t>
      </w:r>
      <w:r>
        <w:rPr>
          <w:b/>
        </w:rPr>
        <w:t xml:space="preserve">                          </w:t>
      </w:r>
    </w:p>
    <w:p w:rsidR="005070E2" w:rsidRPr="002D293C" w:rsidRDefault="005070E2" w:rsidP="005070E2">
      <w:pPr>
        <w:pStyle w:val="Bezrazmaka"/>
        <w:jc w:val="both"/>
      </w:pPr>
      <w:r w:rsidRPr="002D293C">
        <w:t>Vuk Iković</w:t>
      </w:r>
    </w:p>
    <w:p w:rsidR="005070E2" w:rsidRDefault="005070E2" w:rsidP="005070E2">
      <w:pPr>
        <w:pStyle w:val="Bezrazmaka"/>
        <w:jc w:val="both"/>
      </w:pPr>
    </w:p>
    <w:p w:rsidR="005070E2" w:rsidRPr="002D293C" w:rsidRDefault="005070E2" w:rsidP="005070E2">
      <w:pPr>
        <w:pStyle w:val="Bezrazmaka"/>
        <w:jc w:val="both"/>
      </w:pPr>
      <w:r>
        <w:t>Sandra Vuković</w:t>
      </w:r>
    </w:p>
    <w:p w:rsidR="005070E2" w:rsidRPr="002D293C" w:rsidRDefault="005070E2" w:rsidP="005070E2">
      <w:pPr>
        <w:pStyle w:val="Bezrazmaka"/>
        <w:jc w:val="both"/>
      </w:pPr>
    </w:p>
    <w:p w:rsidR="005070E2" w:rsidRPr="002D293C" w:rsidRDefault="005070E2" w:rsidP="005070E2">
      <w:pPr>
        <w:pStyle w:val="Bezrazmaka"/>
        <w:jc w:val="both"/>
      </w:pPr>
      <w:r w:rsidRPr="00B851E6">
        <w:rPr>
          <w:b/>
        </w:rPr>
        <w:t xml:space="preserve">DOSTAVLJENO:                                     </w:t>
      </w:r>
      <w:r>
        <w:rPr>
          <w:b/>
        </w:rPr>
        <w:t xml:space="preserve">                                </w:t>
      </w:r>
      <w:r w:rsidRPr="00B851E6">
        <w:rPr>
          <w:b/>
        </w:rPr>
        <w:t>S E K R E T A R,</w:t>
      </w:r>
      <w:r w:rsidRPr="002D293C">
        <w:t xml:space="preserve"> </w:t>
      </w:r>
      <w:r>
        <w:t xml:space="preserve">                                                                        </w:t>
      </w:r>
      <w:r w:rsidRPr="002D293C">
        <w:t xml:space="preserve">                  </w:t>
      </w:r>
    </w:p>
    <w:p w:rsidR="005070E2" w:rsidRPr="002D293C" w:rsidRDefault="005070E2" w:rsidP="005070E2">
      <w:pPr>
        <w:pStyle w:val="Bezrazmaka"/>
        <w:jc w:val="both"/>
      </w:pPr>
      <w:r w:rsidRPr="002D293C">
        <w:t xml:space="preserve">- Nosiocu projekta      </w:t>
      </w:r>
      <w:r>
        <w:t xml:space="preserve">                                                     </w:t>
      </w:r>
      <w:r w:rsidRPr="002D293C">
        <w:t xml:space="preserve">Arh. Vasilije R. Otašević dipl. ing.                 </w:t>
      </w:r>
    </w:p>
    <w:p w:rsidR="005070E2" w:rsidRPr="002D293C" w:rsidRDefault="005070E2" w:rsidP="005070E2">
      <w:pPr>
        <w:pStyle w:val="Bezrazmaka"/>
        <w:jc w:val="both"/>
      </w:pPr>
      <w:r w:rsidRPr="002D293C">
        <w:t xml:space="preserve">- Glavnom administratoru                   </w:t>
      </w:r>
    </w:p>
    <w:p w:rsidR="005070E2" w:rsidRPr="002D293C" w:rsidRDefault="005070E2" w:rsidP="005070E2">
      <w:pPr>
        <w:pStyle w:val="Bezrazmaka"/>
        <w:jc w:val="both"/>
      </w:pPr>
      <w:r w:rsidRPr="002D293C">
        <w:t>- Agenciji za zaštitu prirode i životne sredine,</w:t>
      </w:r>
    </w:p>
    <w:p w:rsidR="005070E2" w:rsidRPr="002D293C" w:rsidRDefault="005070E2" w:rsidP="005070E2">
      <w:pPr>
        <w:pStyle w:val="Bezrazmaka"/>
        <w:jc w:val="both"/>
      </w:pPr>
      <w:r w:rsidRPr="002D293C">
        <w:t>- Ekološkoj inspekciji</w:t>
      </w:r>
    </w:p>
    <w:p w:rsidR="005070E2" w:rsidRPr="002D293C" w:rsidRDefault="005070E2" w:rsidP="005070E2">
      <w:pPr>
        <w:pStyle w:val="Bezrazmaka"/>
        <w:jc w:val="both"/>
      </w:pPr>
      <w:r w:rsidRPr="002D293C">
        <w:t>- U javnu knjigu o sprovedenim postupcima</w:t>
      </w:r>
    </w:p>
    <w:p w:rsidR="005070E2" w:rsidRPr="002D293C" w:rsidRDefault="005070E2" w:rsidP="005070E2">
      <w:pPr>
        <w:pStyle w:val="Bezrazmaka"/>
        <w:jc w:val="both"/>
      </w:pPr>
      <w:r w:rsidRPr="002D293C">
        <w:t xml:space="preserve">   procjene uticaja na životnu sredinu</w:t>
      </w:r>
    </w:p>
    <w:p w:rsidR="005070E2" w:rsidRPr="000776CF" w:rsidRDefault="005070E2" w:rsidP="005070E2">
      <w:pPr>
        <w:pStyle w:val="Bezrazmaka"/>
        <w:jc w:val="both"/>
      </w:pPr>
      <w:r w:rsidRPr="002D293C">
        <w:t>- a/a</w:t>
      </w:r>
    </w:p>
    <w:p w:rsidR="00176190" w:rsidRDefault="00176190" w:rsidP="005070E2">
      <w:pPr>
        <w:pStyle w:val="Standard"/>
        <w:jc w:val="both"/>
      </w:pPr>
    </w:p>
    <w:sectPr w:rsidR="00176190" w:rsidSect="004A351B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850FD0"/>
    <w:multiLevelType w:val="hybridMultilevel"/>
    <w:tmpl w:val="7E6EA5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25E9E"/>
    <w:multiLevelType w:val="hybridMultilevel"/>
    <w:tmpl w:val="58F400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13A72"/>
    <w:multiLevelType w:val="hybridMultilevel"/>
    <w:tmpl w:val="BC98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438CD"/>
    <w:multiLevelType w:val="hybridMultilevel"/>
    <w:tmpl w:val="B8E8126C"/>
    <w:lvl w:ilvl="0" w:tplc="27C2824E">
      <w:numFmt w:val="bullet"/>
      <w:lvlText w:val="-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A51C25"/>
    <w:multiLevelType w:val="hybridMultilevel"/>
    <w:tmpl w:val="CBB46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4569A"/>
    <w:multiLevelType w:val="hybridMultilevel"/>
    <w:tmpl w:val="111CE20C"/>
    <w:lvl w:ilvl="0" w:tplc="27C2824E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27C2824E">
      <w:numFmt w:val="bullet"/>
      <w:lvlText w:val="-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96E"/>
    <w:rsid w:val="000A178C"/>
    <w:rsid w:val="001670DC"/>
    <w:rsid w:val="00176190"/>
    <w:rsid w:val="00212BCF"/>
    <w:rsid w:val="0026081E"/>
    <w:rsid w:val="002C5201"/>
    <w:rsid w:val="00375855"/>
    <w:rsid w:val="003B7D39"/>
    <w:rsid w:val="004175EA"/>
    <w:rsid w:val="005070E2"/>
    <w:rsid w:val="005425EB"/>
    <w:rsid w:val="0057696E"/>
    <w:rsid w:val="00596E00"/>
    <w:rsid w:val="005E0351"/>
    <w:rsid w:val="00605C6E"/>
    <w:rsid w:val="00660D7A"/>
    <w:rsid w:val="006A6841"/>
    <w:rsid w:val="006F6AE2"/>
    <w:rsid w:val="00742EA6"/>
    <w:rsid w:val="008002C5"/>
    <w:rsid w:val="008B513A"/>
    <w:rsid w:val="00973F27"/>
    <w:rsid w:val="00A41420"/>
    <w:rsid w:val="00C47F3D"/>
    <w:rsid w:val="00D520AE"/>
    <w:rsid w:val="00DF5AF6"/>
    <w:rsid w:val="00EB52BE"/>
    <w:rsid w:val="00F2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1F5B7"/>
  <w15:docId w15:val="{B0BD5056-607D-4D4A-89DB-52760D32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190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Standard">
    <w:name w:val="Standard"/>
    <w:rsid w:val="005769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ezrazmaka">
    <w:name w:val="No Spacing"/>
    <w:qFormat/>
    <w:rsid w:val="0057696E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</w:rPr>
  </w:style>
  <w:style w:type="paragraph" w:styleId="Pasussalistom">
    <w:name w:val="List Paragraph"/>
    <w:basedOn w:val="Normal"/>
    <w:qFormat/>
    <w:rsid w:val="00DF5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</dc:creator>
  <cp:lastModifiedBy>Služba za zajedničke poslove i IT</cp:lastModifiedBy>
  <cp:revision>13</cp:revision>
  <dcterms:created xsi:type="dcterms:W3CDTF">2018-05-07T13:34:00Z</dcterms:created>
  <dcterms:modified xsi:type="dcterms:W3CDTF">2018-05-18T12:47:00Z</dcterms:modified>
</cp:coreProperties>
</file>