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6" w:rsidRDefault="00F536F6" w:rsidP="00F536F6">
      <w:pPr>
        <w:widowControl w:val="0"/>
        <w:suppressAutoHyphens/>
        <w:ind w:left="720"/>
        <w:jc w:val="center"/>
        <w:rPr>
          <w:rFonts w:eastAsia="Lucida Sans Unicode"/>
          <w:b/>
          <w:i/>
          <w:lang w:eastAsia="sr-Latn-CS"/>
        </w:rPr>
      </w:pPr>
      <w:r w:rsidRPr="00F536F6">
        <w:rPr>
          <w:rFonts w:eastAsia="Lucida Sans Unicode"/>
          <w:b/>
          <w:i/>
          <w:noProof/>
        </w:rPr>
        <w:drawing>
          <wp:inline distT="0" distB="0" distL="0" distR="0">
            <wp:extent cx="1981199" cy="3078478"/>
            <wp:effectExtent l="0" t="0" r="635" b="825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predsjednik vlade pro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99" cy="307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6F6" w:rsidRPr="00194026" w:rsidRDefault="00F536F6" w:rsidP="00194026">
      <w:pPr>
        <w:widowControl w:val="0"/>
        <w:suppressAutoHyphens/>
        <w:rPr>
          <w:rFonts w:eastAsia="Lucida Sans Unicode"/>
          <w:b/>
          <w:i/>
          <w:sz w:val="28"/>
          <w:szCs w:val="28"/>
          <w:lang w:eastAsia="sr-Latn-CS"/>
        </w:rPr>
      </w:pPr>
    </w:p>
    <w:p w:rsidR="00F536F6" w:rsidRPr="00194026" w:rsidRDefault="00F536F6" w:rsidP="00F536F6">
      <w:pPr>
        <w:widowControl w:val="0"/>
        <w:suppressAutoHyphens/>
        <w:ind w:left="720"/>
        <w:rPr>
          <w:rFonts w:eastAsia="Lucida Sans Unicode"/>
          <w:b/>
          <w:i/>
          <w:lang w:eastAsia="sr-Latn-CS"/>
        </w:rPr>
      </w:pPr>
    </w:p>
    <w:p w:rsidR="00F536F6" w:rsidRPr="00194026" w:rsidRDefault="00F536F6" w:rsidP="00F536F6">
      <w:pPr>
        <w:widowControl w:val="0"/>
        <w:suppressAutoHyphens/>
        <w:ind w:left="720"/>
        <w:rPr>
          <w:rFonts w:ascii="Tw Cen MT Condensed" w:eastAsia="Lucida Sans Unicode" w:hAnsi="Tw Cen MT Condensed"/>
          <w:b/>
          <w:i/>
          <w:lang w:eastAsia="sr-Latn-CS"/>
        </w:rPr>
      </w:pPr>
    </w:p>
    <w:p w:rsidR="00F536F6" w:rsidRPr="0058328A" w:rsidRDefault="00F536F6" w:rsidP="00F536F6">
      <w:pPr>
        <w:widowControl w:val="0"/>
        <w:suppressAutoHyphens/>
        <w:rPr>
          <w:rFonts w:ascii="Tw Cen MT" w:hAnsi="Tw Cen MT"/>
          <w:b/>
          <w:bCs/>
          <w:lang w:val="en-GB" w:eastAsia="ar-SA"/>
        </w:rPr>
      </w:pPr>
      <w:r w:rsidRPr="0058328A">
        <w:rPr>
          <w:rFonts w:ascii="Tw Cen MT" w:eastAsia="Calibri" w:hAnsi="Tw Cen M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854075" cy="1060450"/>
            <wp:effectExtent l="0" t="0" r="3175" b="6350"/>
            <wp:wrapSquare wrapText="bothSides"/>
            <wp:docPr id="2" name="Picture 2" descr="C:\Users\User\Pictures\grb_danilovgrada_c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grb_danilovgrada_ci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28A">
        <w:rPr>
          <w:rFonts w:ascii="Tw Cen MT" w:eastAsia="Lucida Sans Unicode" w:hAnsi="Tw Cen MT"/>
          <w:b/>
          <w:i/>
          <w:lang w:eastAsia="sr-Latn-CS"/>
        </w:rPr>
        <w:t xml:space="preserve">              </w:t>
      </w:r>
      <w:r w:rsidRPr="0058328A">
        <w:rPr>
          <w:rFonts w:ascii="Tw Cen MT" w:eastAsia="Lucida Sans Unicode" w:hAnsi="Tw Cen MT"/>
          <w:b/>
          <w:i/>
          <w:lang w:val="sr-Cyrl-CS" w:eastAsia="sr-Latn-CS"/>
        </w:rPr>
        <w:t xml:space="preserve">CRNA GORA </w:t>
      </w:r>
    </w:p>
    <w:p w:rsidR="00F536F6" w:rsidRPr="0058328A" w:rsidRDefault="00F536F6" w:rsidP="00F536F6">
      <w:pPr>
        <w:widowControl w:val="0"/>
        <w:suppressAutoHyphens/>
        <w:rPr>
          <w:rFonts w:ascii="Tw Cen MT" w:hAnsi="Tw Cen MT"/>
          <w:b/>
          <w:i/>
          <w:lang w:val="en-GB" w:eastAsia="ar-SA"/>
        </w:rPr>
      </w:pPr>
      <w:r w:rsidRPr="0058328A">
        <w:rPr>
          <w:rFonts w:ascii="Tw Cen MT" w:hAnsi="Tw Cen MT"/>
          <w:b/>
          <w:i/>
          <w:lang w:val="en-GB" w:eastAsia="ar-SA"/>
        </w:rPr>
        <w:t xml:space="preserve">         OPŠTINA DANILOVGRAD</w:t>
      </w:r>
    </w:p>
    <w:p w:rsidR="00F536F6" w:rsidRPr="0058328A" w:rsidRDefault="00F536F6" w:rsidP="00F536F6">
      <w:pPr>
        <w:suppressAutoHyphens/>
        <w:ind w:left="-108" w:right="284"/>
        <w:rPr>
          <w:rFonts w:ascii="Tw Cen MT" w:hAnsi="Tw Cen MT"/>
          <w:b/>
          <w:i/>
          <w:lang w:val="sr-Latn-CS" w:eastAsia="ar-SA"/>
        </w:rPr>
      </w:pPr>
      <w:r w:rsidRPr="0058328A">
        <w:rPr>
          <w:rFonts w:ascii="Tw Cen MT" w:hAnsi="Tw Cen MT"/>
          <w:b/>
          <w:i/>
          <w:lang w:val="sr-Latn-CS" w:eastAsia="ar-SA"/>
        </w:rPr>
        <w:t xml:space="preserve">Sekretarijat za urbanizam, komunalne, stambene              </w:t>
      </w:r>
    </w:p>
    <w:p w:rsidR="00F536F6" w:rsidRPr="0058328A" w:rsidRDefault="00F536F6" w:rsidP="00F536F6">
      <w:pPr>
        <w:suppressAutoHyphens/>
        <w:ind w:right="284"/>
        <w:rPr>
          <w:rFonts w:ascii="Tw Cen MT" w:hAnsi="Tw Cen MT"/>
          <w:b/>
          <w:i/>
          <w:lang w:val="sr-Latn-CS" w:eastAsia="ar-SA"/>
        </w:rPr>
      </w:pPr>
      <w:r w:rsidRPr="0058328A">
        <w:rPr>
          <w:rFonts w:ascii="Tw Cen MT" w:hAnsi="Tw Cen MT"/>
          <w:b/>
          <w:i/>
          <w:lang w:val="sr-Latn-CS" w:eastAsia="ar-SA"/>
        </w:rPr>
        <w:t>poslove, saobraćaj i zaštitu životne sredine</w:t>
      </w:r>
    </w:p>
    <w:p w:rsidR="00F536F6" w:rsidRPr="0058328A" w:rsidRDefault="00F536F6" w:rsidP="00F536F6">
      <w:pPr>
        <w:widowControl w:val="0"/>
        <w:suppressAutoHyphens/>
        <w:rPr>
          <w:rFonts w:ascii="Tw Cen MT" w:eastAsia="Lucida Sans Unicode" w:hAnsi="Tw Cen MT"/>
          <w:b/>
          <w:bCs/>
          <w:i/>
          <w:lang w:eastAsia="sr-Latn-CS"/>
        </w:rPr>
      </w:pPr>
      <w:r w:rsidRPr="0058328A">
        <w:rPr>
          <w:rFonts w:ascii="Tw Cen MT" w:eastAsia="Lucida Sans Unicode" w:hAnsi="Tw Cen MT"/>
          <w:b/>
          <w:bCs/>
          <w:i/>
          <w:lang w:eastAsia="sr-Latn-CS"/>
        </w:rPr>
        <w:t xml:space="preserve">           </w:t>
      </w:r>
      <w:r w:rsidRPr="0058328A">
        <w:rPr>
          <w:rFonts w:ascii="Tw Cen MT" w:eastAsia="Lucida Sans Unicode" w:hAnsi="Tw Cen MT"/>
          <w:b/>
          <w:bCs/>
          <w:i/>
          <w:lang w:val="sr-Cyrl-CS" w:eastAsia="sr-Latn-CS"/>
        </w:rPr>
        <w:t>Broj: 0</w:t>
      </w:r>
      <w:r w:rsidRPr="0058328A">
        <w:rPr>
          <w:rFonts w:ascii="Tw Cen MT" w:eastAsia="Lucida Sans Unicode" w:hAnsi="Tw Cen MT"/>
          <w:b/>
          <w:bCs/>
          <w:i/>
          <w:lang w:eastAsia="sr-Latn-CS"/>
        </w:rPr>
        <w:t>3</w:t>
      </w:r>
      <w:r w:rsidRPr="0058328A">
        <w:rPr>
          <w:rFonts w:ascii="Tw Cen MT" w:eastAsia="Lucida Sans Unicode" w:hAnsi="Tw Cen MT"/>
          <w:b/>
          <w:bCs/>
          <w:i/>
          <w:lang w:val="sr-Cyrl-CS" w:eastAsia="sr-Latn-CS"/>
        </w:rPr>
        <w:t>–</w:t>
      </w:r>
      <w:r w:rsidRPr="0058328A">
        <w:rPr>
          <w:rFonts w:ascii="Tw Cen MT" w:eastAsia="Lucida Sans Unicode" w:hAnsi="Tw Cen MT"/>
          <w:b/>
          <w:bCs/>
          <w:i/>
          <w:lang w:eastAsia="sr-Latn-CS"/>
        </w:rPr>
        <w:t>032-5-</w:t>
      </w:r>
      <w:r w:rsidR="00E10196">
        <w:rPr>
          <w:rFonts w:ascii="Tw Cen MT" w:eastAsia="Lucida Sans Unicode" w:hAnsi="Tw Cen MT"/>
          <w:b/>
          <w:bCs/>
          <w:i/>
          <w:lang w:eastAsia="sr-Latn-CS"/>
        </w:rPr>
        <w:t>84/3</w:t>
      </w:r>
    </w:p>
    <w:p w:rsidR="00F536F6" w:rsidRPr="00E10196" w:rsidRDefault="007B5DDD" w:rsidP="007B5DDD">
      <w:pPr>
        <w:rPr>
          <w:rFonts w:ascii="Tw Cen MT" w:hAnsi="Tw Cen MT"/>
          <w:b/>
          <w:i/>
          <w:lang w:val="en-GB" w:eastAsia="ar-SA"/>
        </w:rPr>
      </w:pPr>
      <w:r w:rsidRPr="0058328A">
        <w:rPr>
          <w:rFonts w:ascii="Tw Cen MT" w:hAnsi="Tw Cen MT"/>
          <w:lang w:val="en-GB" w:eastAsia="ar-SA"/>
        </w:rPr>
        <w:t xml:space="preserve">  </w:t>
      </w:r>
      <w:r w:rsidRPr="00E10196">
        <w:rPr>
          <w:rFonts w:ascii="Tw Cen MT" w:hAnsi="Tw Cen MT"/>
          <w:b/>
          <w:i/>
          <w:lang w:val="en-GB" w:eastAsia="ar-SA"/>
        </w:rPr>
        <w:t>Danilovgrad, 05</w:t>
      </w:r>
      <w:r w:rsidR="00F536F6" w:rsidRPr="00E10196">
        <w:rPr>
          <w:rFonts w:ascii="Tw Cen MT" w:hAnsi="Tw Cen MT"/>
          <w:b/>
          <w:i/>
          <w:lang w:val="en-GB" w:eastAsia="ar-SA"/>
        </w:rPr>
        <w:t>.05.2016.godine</w:t>
      </w:r>
    </w:p>
    <w:p w:rsidR="00F536F6" w:rsidRPr="0058328A" w:rsidRDefault="00F536F6" w:rsidP="00F536F6">
      <w:pPr>
        <w:widowControl w:val="0"/>
        <w:suppressAutoHyphens/>
        <w:rPr>
          <w:rFonts w:ascii="Tw Cen MT" w:hAnsi="Tw Cen MT"/>
          <w:b/>
          <w:bCs/>
          <w:i/>
          <w:lang w:val="en-GB" w:eastAsia="ar-SA"/>
        </w:rPr>
      </w:pPr>
    </w:p>
    <w:p w:rsidR="00F536F6" w:rsidRPr="0058328A" w:rsidRDefault="00F536F6" w:rsidP="00F536F6">
      <w:pPr>
        <w:widowControl w:val="0"/>
        <w:suppressAutoHyphens/>
        <w:rPr>
          <w:rFonts w:ascii="Tw Cen MT" w:hAnsi="Tw Cen MT"/>
          <w:b/>
          <w:bCs/>
          <w:i/>
          <w:lang w:val="en-GB" w:eastAsia="ar-SA"/>
        </w:rPr>
      </w:pPr>
      <w:r w:rsidRPr="0058328A">
        <w:rPr>
          <w:rFonts w:ascii="Tw Cen MT" w:hAnsi="Tw Cen MT"/>
          <w:b/>
          <w:bCs/>
          <w:i/>
          <w:lang w:val="en-GB" w:eastAsia="ar-SA"/>
        </w:rPr>
        <w:t xml:space="preserve">81410 Danilovgrad, Trg 9. </w:t>
      </w:r>
      <w:proofErr w:type="gramStart"/>
      <w:r w:rsidRPr="0058328A">
        <w:rPr>
          <w:rFonts w:ascii="Tw Cen MT" w:hAnsi="Tw Cen MT"/>
          <w:b/>
          <w:bCs/>
          <w:i/>
          <w:lang w:val="en-GB" w:eastAsia="ar-SA"/>
        </w:rPr>
        <w:t>decembar</w:t>
      </w:r>
      <w:proofErr w:type="gramEnd"/>
      <w:r w:rsidRPr="0058328A">
        <w:rPr>
          <w:rFonts w:ascii="Tw Cen MT" w:hAnsi="Tw Cen MT"/>
          <w:b/>
          <w:bCs/>
          <w:i/>
          <w:lang w:val="en-GB" w:eastAsia="ar-SA"/>
        </w:rPr>
        <w:t xml:space="preserve">        </w:t>
      </w:r>
      <w:r w:rsidRPr="0058328A">
        <w:rPr>
          <w:rFonts w:ascii="Tw Cen MT" w:hAnsi="Tw Cen MT"/>
          <w:b/>
          <w:bCs/>
          <w:i/>
          <w:lang w:val="en-GB" w:eastAsia="ar-SA"/>
        </w:rPr>
        <w:tab/>
      </w:r>
      <w:r w:rsidRPr="0058328A">
        <w:rPr>
          <w:rFonts w:ascii="Tw Cen MT" w:hAnsi="Tw Cen MT"/>
          <w:b/>
          <w:bCs/>
          <w:i/>
          <w:lang w:val="en-GB" w:eastAsia="ar-SA"/>
        </w:rPr>
        <w:tab/>
        <w:t xml:space="preserve"> </w:t>
      </w:r>
      <w:r w:rsidRPr="0058328A">
        <w:rPr>
          <w:rFonts w:ascii="Tw Cen MT" w:hAnsi="Tw Cen MT"/>
          <w:b/>
          <w:bCs/>
          <w:i/>
          <w:lang w:val="en-GB" w:eastAsia="ar-SA"/>
        </w:rPr>
        <w:tab/>
        <w:t xml:space="preserve">     </w:t>
      </w:r>
    </w:p>
    <w:p w:rsidR="00F536F6" w:rsidRPr="0058328A" w:rsidRDefault="00F536F6" w:rsidP="005832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rPr>
          <w:rFonts w:ascii="Tw Cen MT" w:hAnsi="Tw Cen MT"/>
          <w:b/>
          <w:bCs/>
          <w:i/>
          <w:lang w:val="en-GB" w:eastAsia="ar-SA"/>
        </w:rPr>
      </w:pPr>
      <w:proofErr w:type="gramStart"/>
      <w:r w:rsidRPr="0058328A">
        <w:rPr>
          <w:rFonts w:ascii="Tw Cen MT" w:hAnsi="Tw Cen MT"/>
          <w:b/>
          <w:bCs/>
          <w:i/>
          <w:lang w:val="en-GB" w:eastAsia="ar-SA"/>
        </w:rPr>
        <w:t>tel</w:t>
      </w:r>
      <w:proofErr w:type="gramEnd"/>
      <w:r w:rsidRPr="0058328A">
        <w:rPr>
          <w:rFonts w:ascii="Tw Cen MT" w:hAnsi="Tw Cen MT"/>
          <w:b/>
          <w:bCs/>
          <w:i/>
          <w:lang w:val="en-GB" w:eastAsia="ar-SA"/>
        </w:rPr>
        <w:t>. 020/812-040</w:t>
      </w:r>
      <w:r w:rsidR="00E10196">
        <w:rPr>
          <w:rFonts w:ascii="Tw Cen MT" w:hAnsi="Tw Cen MT"/>
          <w:b/>
          <w:bCs/>
          <w:i/>
          <w:lang w:val="en-GB" w:eastAsia="ar-SA"/>
        </w:rPr>
        <w:tab/>
        <w:t xml:space="preserve">  </w:t>
      </w:r>
      <w:r w:rsidR="00E10196">
        <w:rPr>
          <w:rFonts w:ascii="Tw Cen MT" w:hAnsi="Tw Cen MT"/>
          <w:b/>
          <w:bCs/>
          <w:i/>
          <w:lang w:val="en-GB" w:eastAsia="ar-SA"/>
        </w:rPr>
        <w:tab/>
        <w:t xml:space="preserve">            </w:t>
      </w:r>
      <w:r w:rsidR="00E10196">
        <w:rPr>
          <w:rFonts w:ascii="Tw Cen MT" w:hAnsi="Tw Cen MT"/>
          <w:b/>
          <w:bCs/>
          <w:i/>
          <w:lang w:val="en-GB" w:eastAsia="ar-SA"/>
        </w:rPr>
        <w:tab/>
        <w:t xml:space="preserve">            </w:t>
      </w:r>
      <w:r w:rsidR="0058328A" w:rsidRPr="0058328A">
        <w:rPr>
          <w:rFonts w:ascii="Tw Cen MT" w:hAnsi="Tw Cen MT"/>
          <w:b/>
          <w:bCs/>
          <w:i/>
          <w:lang w:val="en-GB" w:eastAsia="ar-SA"/>
        </w:rPr>
        <w:t xml:space="preserve"> </w:t>
      </w:r>
      <w:r w:rsidR="00E10196" w:rsidRPr="0058328A">
        <w:rPr>
          <w:rFonts w:ascii="Tw Cen MT" w:hAnsi="Tw Cen MT"/>
          <w:b/>
          <w:bCs/>
          <w:i/>
          <w:lang w:val="en-GB" w:eastAsia="ar-SA"/>
        </w:rPr>
        <w:t>e-mail: urbanizamdg</w:t>
      </w:r>
      <w:r w:rsidR="00E10196" w:rsidRPr="0058328A">
        <w:rPr>
          <w:rFonts w:ascii="Tw Cen MT" w:hAnsi="Tw Cen MT"/>
          <w:b/>
          <w:bCs/>
          <w:i/>
          <w:lang w:eastAsia="ar-SA"/>
        </w:rPr>
        <w:t>@</w:t>
      </w:r>
      <w:r w:rsidR="00E10196" w:rsidRPr="0058328A">
        <w:rPr>
          <w:rFonts w:ascii="Tw Cen MT" w:hAnsi="Tw Cen MT"/>
          <w:b/>
          <w:bCs/>
          <w:i/>
          <w:lang w:val="en-GB" w:eastAsia="ar-SA"/>
        </w:rPr>
        <w:t>yahoo.com</w:t>
      </w:r>
      <w:r w:rsidR="0058328A" w:rsidRPr="0058328A">
        <w:rPr>
          <w:rFonts w:ascii="Tw Cen MT" w:hAnsi="Tw Cen MT"/>
          <w:b/>
          <w:bCs/>
          <w:i/>
          <w:lang w:val="en-GB" w:eastAsia="ar-SA"/>
        </w:rPr>
        <w:t xml:space="preserve">                                                    </w:t>
      </w:r>
      <w:r w:rsidR="00194026" w:rsidRPr="0058328A">
        <w:rPr>
          <w:rFonts w:ascii="Tw Cen MT" w:hAnsi="Tw Cen MT"/>
          <w:b/>
          <w:bCs/>
          <w:i/>
          <w:lang w:val="en-GB" w:eastAsia="ar-SA"/>
        </w:rPr>
        <w:t xml:space="preserve"> </w:t>
      </w:r>
      <w:r w:rsidR="00E10196">
        <w:rPr>
          <w:rFonts w:ascii="Tw Cen MT" w:hAnsi="Tw Cen MT"/>
          <w:b/>
          <w:bCs/>
          <w:i/>
          <w:lang w:val="en-GB" w:eastAsia="ar-SA"/>
        </w:rPr>
        <w:t xml:space="preserve">     </w:t>
      </w:r>
    </w:p>
    <w:p w:rsidR="00F536F6" w:rsidRPr="0058328A" w:rsidRDefault="00F536F6" w:rsidP="00F536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uppressAutoHyphens/>
        <w:rPr>
          <w:rFonts w:ascii="Tw Cen MT" w:hAnsi="Tw Cen MT"/>
          <w:b/>
          <w:bCs/>
          <w:lang w:val="sr-Latn-CS" w:eastAsia="ar-SA"/>
        </w:rPr>
      </w:pPr>
      <w:r w:rsidRPr="0058328A">
        <w:rPr>
          <w:rFonts w:ascii="Tw Cen MT" w:hAnsi="Tw Cen MT"/>
          <w:b/>
          <w:bCs/>
          <w:i/>
          <w:lang w:val="en-GB" w:eastAsia="ar-SA"/>
        </w:rPr>
        <w:t xml:space="preserve">tel.fax: 020/ 810-140        </w:t>
      </w:r>
      <w:r w:rsidRPr="0058328A">
        <w:rPr>
          <w:rFonts w:ascii="Tw Cen MT" w:hAnsi="Tw Cen MT"/>
          <w:b/>
          <w:bCs/>
          <w:i/>
          <w:lang w:val="en-GB" w:eastAsia="ar-SA"/>
        </w:rPr>
        <w:tab/>
      </w:r>
      <w:r w:rsidRPr="0058328A">
        <w:rPr>
          <w:rFonts w:ascii="Tw Cen MT" w:hAnsi="Tw Cen MT"/>
          <w:b/>
          <w:bCs/>
          <w:i/>
          <w:lang w:val="en-GB" w:eastAsia="ar-SA"/>
        </w:rPr>
        <w:tab/>
        <w:t xml:space="preserve">         </w:t>
      </w:r>
      <w:r w:rsidR="00E10196">
        <w:rPr>
          <w:rFonts w:ascii="Tw Cen MT" w:hAnsi="Tw Cen MT"/>
          <w:b/>
          <w:bCs/>
          <w:i/>
          <w:lang w:val="en-GB" w:eastAsia="ar-SA"/>
        </w:rPr>
        <w:t xml:space="preserve">                        </w:t>
      </w:r>
      <w:r w:rsidRPr="0058328A">
        <w:rPr>
          <w:rFonts w:ascii="Tw Cen MT" w:eastAsia="Lucida Sans Unicode" w:hAnsi="Tw Cen MT"/>
          <w:b/>
          <w:i/>
          <w:lang w:val="en-GB" w:eastAsia="ar-SA"/>
        </w:rPr>
        <w:t>www.danilovgrad.me</w:t>
      </w:r>
    </w:p>
    <w:p w:rsidR="00F536F6" w:rsidRPr="0058328A" w:rsidRDefault="00F536F6" w:rsidP="00F536F6">
      <w:pPr>
        <w:rPr>
          <w:rFonts w:ascii="Tw Cen MT" w:hAnsi="Tw Cen MT"/>
          <w:b/>
          <w:bCs/>
          <w:lang w:val="en-GB" w:eastAsia="ar-SA"/>
        </w:rPr>
      </w:pPr>
      <w:r w:rsidRPr="0058328A">
        <w:rPr>
          <w:rFonts w:ascii="Tw Cen MT" w:hAnsi="Tw Cen MT"/>
          <w:b/>
          <w:bCs/>
          <w:lang w:val="en-GB" w:eastAsia="ar-SA"/>
        </w:rPr>
        <w:t>_________________________________________</w:t>
      </w:r>
      <w:r w:rsidR="00194026" w:rsidRPr="0058328A">
        <w:rPr>
          <w:rFonts w:ascii="Tw Cen MT" w:hAnsi="Tw Cen MT"/>
          <w:b/>
          <w:bCs/>
          <w:lang w:val="en-GB" w:eastAsia="ar-SA"/>
        </w:rPr>
        <w:t>______________________________</w:t>
      </w:r>
    </w:p>
    <w:p w:rsidR="002159B5" w:rsidRPr="0058328A" w:rsidRDefault="002159B5" w:rsidP="002159B5">
      <w:pPr>
        <w:rPr>
          <w:rFonts w:ascii="Tw Cen MT" w:hAnsi="Tw Cen MT"/>
          <w:lang w:val="sr-Latn-CS"/>
        </w:rPr>
      </w:pPr>
    </w:p>
    <w:p w:rsidR="002159B5" w:rsidRPr="0058328A" w:rsidRDefault="002159B5" w:rsidP="002159B5">
      <w:pPr>
        <w:jc w:val="both"/>
        <w:rPr>
          <w:rFonts w:ascii="Tw Cen MT" w:hAnsi="Tw Cen MT"/>
          <w:lang w:val="sr-Latn-CS"/>
        </w:rPr>
      </w:pPr>
      <w:r w:rsidRPr="0058328A">
        <w:rPr>
          <w:rFonts w:ascii="Tw Cen MT" w:hAnsi="Tw Cen MT"/>
          <w:lang w:val="sr-Latn-CS"/>
        </w:rPr>
        <w:t>Na osnovu člana 13 Zakona o procjeni uticaja na životnu sredinu („Sl. list RCG“, br. 80/05 i „Sl. list CG“, br. 40/10 i 27/13) i člana 196 Zakona o opštem upravnom postupku („Sl. list RCG, br. 60/03 i „Sl. list CG“, br. 32/11)</w:t>
      </w:r>
      <w:r w:rsidR="00CE2E59" w:rsidRPr="0058328A">
        <w:rPr>
          <w:rFonts w:ascii="Tw Cen MT" w:hAnsi="Tw Cen MT"/>
          <w:lang w:val="sr-Latn-CS"/>
        </w:rPr>
        <w:t>,</w:t>
      </w:r>
      <w:r w:rsidRPr="0058328A">
        <w:rPr>
          <w:rFonts w:ascii="Tw Cen MT" w:hAnsi="Tw Cen MT"/>
          <w:lang w:val="sr-Latn-CS"/>
        </w:rPr>
        <w:t xml:space="preserve"> u postupku odlučivanja po zah</w:t>
      </w:r>
      <w:r w:rsidR="003F7099" w:rsidRPr="0058328A">
        <w:rPr>
          <w:rFonts w:ascii="Tw Cen MT" w:hAnsi="Tw Cen MT"/>
          <w:lang w:val="sr-Latn-CS"/>
        </w:rPr>
        <w:t>tjevu</w:t>
      </w:r>
      <w:r w:rsidR="00766B45" w:rsidRPr="0058328A">
        <w:rPr>
          <w:rFonts w:ascii="Tw Cen MT" w:hAnsi="Tw Cen MT"/>
          <w:lang w:val="sr-Latn-CS"/>
        </w:rPr>
        <w:t xml:space="preserve"> </w:t>
      </w:r>
      <w:r w:rsidR="005B1F30" w:rsidRPr="0058328A">
        <w:rPr>
          <w:rFonts w:ascii="Tw Cen MT" w:hAnsi="Tw Cen MT"/>
          <w:lang w:val="sr-Latn-CS"/>
        </w:rPr>
        <w:t>Joković Zorana</w:t>
      </w:r>
      <w:r w:rsidR="00766B45" w:rsidRPr="0058328A">
        <w:rPr>
          <w:rFonts w:ascii="Tw Cen MT" w:hAnsi="Tw Cen MT"/>
          <w:lang w:val="sr-Latn-CS"/>
        </w:rPr>
        <w:t xml:space="preserve">, </w:t>
      </w:r>
      <w:r w:rsidR="007E542B" w:rsidRPr="0058328A">
        <w:rPr>
          <w:rFonts w:ascii="Tw Cen MT" w:hAnsi="Tw Cen MT"/>
          <w:lang w:val="sr-Latn-CS"/>
        </w:rPr>
        <w:t>„</w:t>
      </w:r>
      <w:r w:rsidR="005B1F30" w:rsidRPr="0058328A">
        <w:rPr>
          <w:rFonts w:ascii="Tw Cen MT" w:hAnsi="Tw Cen MT"/>
          <w:lang w:val="sr-Latn-CS"/>
        </w:rPr>
        <w:t>Joković Prestige Plus</w:t>
      </w:r>
      <w:r w:rsidR="00E10196">
        <w:rPr>
          <w:rFonts w:ascii="Tw Cen MT" w:hAnsi="Tw Cen MT"/>
          <w:lang w:val="sr-Latn-CS"/>
        </w:rPr>
        <w:t>“</w:t>
      </w:r>
      <w:r w:rsidR="007E542B" w:rsidRPr="0058328A">
        <w:rPr>
          <w:rFonts w:ascii="Tw Cen MT" w:hAnsi="Tw Cen MT"/>
          <w:lang w:val="sr-Latn-CS"/>
        </w:rPr>
        <w:t xml:space="preserve"> </w:t>
      </w:r>
      <w:r w:rsidR="005B1F30" w:rsidRPr="0058328A">
        <w:rPr>
          <w:rFonts w:ascii="Tw Cen MT" w:hAnsi="Tw Cen MT"/>
          <w:lang w:val="sr-Latn-CS"/>
        </w:rPr>
        <w:t>d.o.o</w:t>
      </w:r>
      <w:r w:rsidR="00E10196">
        <w:rPr>
          <w:rFonts w:ascii="Tw Cen MT" w:hAnsi="Tw Cen MT"/>
          <w:lang w:val="sr-Latn-CS"/>
        </w:rPr>
        <w:t>.</w:t>
      </w:r>
      <w:r w:rsidR="00434397" w:rsidRPr="0058328A">
        <w:rPr>
          <w:rFonts w:ascii="Tw Cen MT" w:hAnsi="Tw Cen MT"/>
          <w:lang w:val="sr-Latn-CS"/>
        </w:rPr>
        <w:t xml:space="preserve"> </w:t>
      </w:r>
      <w:r w:rsidR="005B1F30" w:rsidRPr="0058328A">
        <w:rPr>
          <w:rFonts w:ascii="Tw Cen MT" w:hAnsi="Tw Cen MT"/>
          <w:lang w:val="sr-Latn-CS"/>
        </w:rPr>
        <w:t>Nikšić</w:t>
      </w:r>
      <w:r w:rsidR="007E542B" w:rsidRPr="0058328A">
        <w:rPr>
          <w:rFonts w:ascii="Tw Cen MT" w:hAnsi="Tw Cen MT"/>
          <w:lang w:val="sr-Latn-CS"/>
        </w:rPr>
        <w:t xml:space="preserve">, </w:t>
      </w:r>
      <w:r w:rsidRPr="0058328A">
        <w:rPr>
          <w:rFonts w:ascii="Tw Cen MT" w:hAnsi="Tw Cen MT"/>
          <w:lang w:val="sr-Latn-CS"/>
        </w:rPr>
        <w:t>o potrebi procjene uticaja na životnu sredinu, Sekr</w:t>
      </w:r>
      <w:r w:rsidR="007E542B" w:rsidRPr="0058328A">
        <w:rPr>
          <w:rFonts w:ascii="Tw Cen MT" w:hAnsi="Tw Cen MT"/>
          <w:lang w:val="sr-Latn-CS"/>
        </w:rPr>
        <w:t>etarijat za urbanizam, komunalne,</w:t>
      </w:r>
      <w:r w:rsidRPr="0058328A">
        <w:rPr>
          <w:rFonts w:ascii="Tw Cen MT" w:hAnsi="Tw Cen MT"/>
          <w:lang w:val="sr-Latn-CS"/>
        </w:rPr>
        <w:t xml:space="preserve"> stambene poslove</w:t>
      </w:r>
      <w:r w:rsidR="007E542B" w:rsidRPr="0058328A">
        <w:rPr>
          <w:rFonts w:ascii="Tw Cen MT" w:hAnsi="Tw Cen MT"/>
          <w:lang w:val="sr-Latn-CS"/>
        </w:rPr>
        <w:t xml:space="preserve">, saobraćaj </w:t>
      </w:r>
      <w:r w:rsidRPr="0058328A">
        <w:rPr>
          <w:rFonts w:ascii="Tw Cen MT" w:hAnsi="Tw Cen MT"/>
          <w:lang w:val="sr-Latn-CS"/>
        </w:rPr>
        <w:t xml:space="preserve"> i zaštitu životne sredine</w:t>
      </w:r>
      <w:r w:rsidR="004C3B15" w:rsidRPr="0058328A">
        <w:rPr>
          <w:rFonts w:ascii="Tw Cen MT" w:hAnsi="Tw Cen MT"/>
          <w:lang w:val="sr-Latn-CS"/>
        </w:rPr>
        <w:t xml:space="preserve">, </w:t>
      </w:r>
      <w:r w:rsidRPr="0058328A">
        <w:rPr>
          <w:rFonts w:ascii="Tw Cen MT" w:hAnsi="Tw Cen MT"/>
          <w:lang w:val="sr-Latn-CS"/>
        </w:rPr>
        <w:t xml:space="preserve"> donosi:</w:t>
      </w:r>
    </w:p>
    <w:p w:rsidR="002159B5" w:rsidRPr="0058328A" w:rsidRDefault="002159B5" w:rsidP="002159B5">
      <w:pPr>
        <w:jc w:val="center"/>
        <w:rPr>
          <w:rFonts w:ascii="Tw Cen MT" w:hAnsi="Tw Cen MT"/>
          <w:lang w:val="sr-Latn-CS"/>
        </w:rPr>
      </w:pPr>
    </w:p>
    <w:p w:rsidR="002159B5" w:rsidRPr="0058328A" w:rsidRDefault="002159B5" w:rsidP="002159B5">
      <w:pPr>
        <w:jc w:val="center"/>
        <w:rPr>
          <w:rFonts w:ascii="Tw Cen MT" w:hAnsi="Tw Cen MT"/>
          <w:b/>
          <w:lang w:val="sr-Latn-CS"/>
        </w:rPr>
      </w:pPr>
      <w:r w:rsidRPr="0058328A">
        <w:rPr>
          <w:rFonts w:ascii="Tw Cen MT" w:hAnsi="Tw Cen MT"/>
          <w:b/>
          <w:lang w:val="sr-Latn-CS"/>
        </w:rPr>
        <w:t>R J E Š E NJ E</w:t>
      </w:r>
    </w:p>
    <w:p w:rsidR="002159B5" w:rsidRPr="0058328A" w:rsidRDefault="002159B5" w:rsidP="002159B5">
      <w:pPr>
        <w:rPr>
          <w:rFonts w:ascii="Tw Cen MT" w:hAnsi="Tw Cen MT"/>
          <w:lang w:val="sr-Latn-CS"/>
        </w:rPr>
      </w:pPr>
    </w:p>
    <w:p w:rsidR="002159B5" w:rsidRPr="0058328A" w:rsidRDefault="002159B5" w:rsidP="002159B5">
      <w:pPr>
        <w:rPr>
          <w:rFonts w:ascii="Tw Cen MT" w:hAnsi="Tw Cen MT"/>
          <w:lang w:val="sr-Latn-CS"/>
        </w:rPr>
      </w:pPr>
    </w:p>
    <w:p w:rsidR="002159B5" w:rsidRPr="0058328A" w:rsidRDefault="002159B5" w:rsidP="002159B5">
      <w:pPr>
        <w:pStyle w:val="ListParagraph"/>
        <w:numPr>
          <w:ilvl w:val="0"/>
          <w:numId w:val="10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b/>
          <w:sz w:val="24"/>
          <w:szCs w:val="24"/>
          <w:lang w:val="sr-Latn-CS"/>
        </w:rPr>
        <w:t>Utvrđuje se da nije potrebna procjena uticaja na životnu sredinu</w:t>
      </w:r>
      <w:r w:rsidRPr="0058328A">
        <w:rPr>
          <w:rFonts w:ascii="Tw Cen MT" w:hAnsi="Tw Cen MT" w:cs="Times New Roman"/>
          <w:sz w:val="24"/>
          <w:szCs w:val="24"/>
          <w:lang w:val="sr-Latn-CS"/>
        </w:rPr>
        <w:t xml:space="preserve"> za </w:t>
      </w:r>
      <w:r w:rsidR="00720564" w:rsidRPr="0058328A">
        <w:rPr>
          <w:rFonts w:ascii="Tw Cen MT" w:hAnsi="Tw Cen MT" w:cs="Times New Roman"/>
          <w:sz w:val="24"/>
          <w:szCs w:val="24"/>
          <w:lang w:val="sr-Latn-CS"/>
        </w:rPr>
        <w:t xml:space="preserve">poslovni objekat </w:t>
      </w:r>
      <w:r w:rsidR="005B1F30" w:rsidRPr="0058328A">
        <w:rPr>
          <w:rFonts w:ascii="Tw Cen MT" w:hAnsi="Tw Cen MT" w:cs="Times New Roman"/>
          <w:sz w:val="24"/>
          <w:szCs w:val="24"/>
          <w:lang w:val="sr-Latn-CS"/>
        </w:rPr>
        <w:t>limarsko-lakirerska radionica</w:t>
      </w:r>
      <w:r w:rsidRPr="0058328A">
        <w:rPr>
          <w:rFonts w:ascii="Tw Cen MT" w:hAnsi="Tw Cen MT" w:cs="Times New Roman"/>
          <w:sz w:val="24"/>
          <w:szCs w:val="24"/>
          <w:lang w:val="sr-Latn-CS"/>
        </w:rPr>
        <w:t>,</w:t>
      </w:r>
      <w:r w:rsidR="00720564" w:rsidRPr="0058328A">
        <w:rPr>
          <w:rFonts w:ascii="Tw Cen MT" w:hAnsi="Tw Cen MT" w:cs="Times New Roman"/>
          <w:sz w:val="24"/>
          <w:szCs w:val="24"/>
          <w:lang w:val="sr-Latn-CS"/>
        </w:rPr>
        <w:t xml:space="preserve"> koji</w:t>
      </w:r>
      <w:r w:rsidRPr="0058328A">
        <w:rPr>
          <w:rFonts w:ascii="Tw Cen MT" w:hAnsi="Tw Cen MT" w:cs="Times New Roman"/>
          <w:sz w:val="24"/>
          <w:szCs w:val="24"/>
          <w:lang w:val="sr-Latn-CS"/>
        </w:rPr>
        <w:t xml:space="preserve"> se nalazi na</w:t>
      </w:r>
      <w:r w:rsidR="007E542B" w:rsidRPr="0058328A">
        <w:rPr>
          <w:rFonts w:ascii="Tw Cen MT" w:hAnsi="Tw Cen MT" w:cs="Times New Roman"/>
          <w:sz w:val="24"/>
          <w:szCs w:val="24"/>
          <w:lang w:val="sr-Latn-CS"/>
        </w:rPr>
        <w:t xml:space="preserve"> kat. parcel</w:t>
      </w:r>
      <w:r w:rsidR="005B1F30" w:rsidRPr="0058328A">
        <w:rPr>
          <w:rFonts w:ascii="Tw Cen MT" w:hAnsi="Tw Cen MT" w:cs="Times New Roman"/>
          <w:sz w:val="24"/>
          <w:szCs w:val="24"/>
          <w:lang w:val="sr-Latn-CS"/>
        </w:rPr>
        <w:t>i</w:t>
      </w:r>
      <w:r w:rsidR="007E542B" w:rsidRPr="0058328A">
        <w:rPr>
          <w:rFonts w:ascii="Tw Cen MT" w:hAnsi="Tw Cen MT" w:cs="Times New Roman"/>
          <w:sz w:val="24"/>
          <w:szCs w:val="24"/>
          <w:lang w:val="sr-Latn-CS"/>
        </w:rPr>
        <w:t xml:space="preserve"> </w:t>
      </w:r>
      <w:r w:rsidR="005B1F30" w:rsidRPr="0058328A">
        <w:rPr>
          <w:rFonts w:ascii="Tw Cen MT" w:hAnsi="Tw Cen MT" w:cs="Times New Roman"/>
          <w:sz w:val="24"/>
          <w:szCs w:val="24"/>
          <w:lang w:val="sr-Latn-CS"/>
        </w:rPr>
        <w:t>br. 845/8</w:t>
      </w:r>
      <w:r w:rsidR="007E542B" w:rsidRPr="0058328A">
        <w:rPr>
          <w:rFonts w:ascii="Tw Cen MT" w:hAnsi="Tw Cen MT" w:cs="Times New Roman"/>
          <w:sz w:val="24"/>
          <w:szCs w:val="24"/>
          <w:lang w:val="sr-Latn-CS"/>
        </w:rPr>
        <w:t xml:space="preserve"> , KO </w:t>
      </w:r>
      <w:r w:rsidR="005B1F30" w:rsidRPr="0058328A">
        <w:rPr>
          <w:rFonts w:ascii="Tw Cen MT" w:hAnsi="Tw Cen MT" w:cs="Times New Roman"/>
          <w:sz w:val="24"/>
          <w:szCs w:val="24"/>
          <w:lang w:val="sr-Latn-CS"/>
        </w:rPr>
        <w:t>Bandići</w:t>
      </w:r>
      <w:r w:rsidRPr="0058328A">
        <w:rPr>
          <w:rFonts w:ascii="Tw Cen MT" w:hAnsi="Tw Cen MT" w:cs="Times New Roman"/>
          <w:sz w:val="24"/>
          <w:szCs w:val="24"/>
          <w:lang w:val="sr-Latn-CS"/>
        </w:rPr>
        <w:t xml:space="preserve">, </w:t>
      </w:r>
      <w:r w:rsidR="009D0986" w:rsidRPr="0058328A">
        <w:rPr>
          <w:rFonts w:ascii="Tw Cen MT" w:hAnsi="Tw Cen MT" w:cs="Times New Roman"/>
          <w:sz w:val="24"/>
          <w:szCs w:val="24"/>
          <w:lang w:val="sr-Latn-CS"/>
        </w:rPr>
        <w:t>opština Danilovgrad, dimenzija u osnovi</w:t>
      </w:r>
      <w:r w:rsidR="005B1F30" w:rsidRPr="0058328A">
        <w:rPr>
          <w:rFonts w:ascii="Tw Cen MT" w:hAnsi="Tw Cen MT" w:cs="Times New Roman"/>
          <w:sz w:val="24"/>
          <w:szCs w:val="24"/>
          <w:lang w:val="sr-Latn-CS"/>
        </w:rPr>
        <w:t xml:space="preserve"> horizontalnog gabarita</w:t>
      </w:r>
      <w:r w:rsidR="009D0986" w:rsidRPr="0058328A">
        <w:rPr>
          <w:rFonts w:ascii="Tw Cen MT" w:hAnsi="Tw Cen MT" w:cs="Times New Roman"/>
          <w:sz w:val="24"/>
          <w:szCs w:val="24"/>
          <w:lang w:val="sr-Latn-CS"/>
        </w:rPr>
        <w:t xml:space="preserve"> </w:t>
      </w:r>
      <w:r w:rsidR="005B1F30" w:rsidRPr="0058328A">
        <w:rPr>
          <w:rFonts w:ascii="Tw Cen MT" w:hAnsi="Tw Cen MT" w:cs="Times New Roman"/>
          <w:sz w:val="24"/>
          <w:szCs w:val="24"/>
          <w:lang w:val="sr-Latn-CS"/>
        </w:rPr>
        <w:t>35</w:t>
      </w:r>
      <w:r w:rsidR="00DA1DE8" w:rsidRPr="0058328A">
        <w:rPr>
          <w:rFonts w:ascii="Tw Cen MT" w:hAnsi="Tw Cen MT" w:cs="Times New Roman"/>
          <w:sz w:val="24"/>
          <w:szCs w:val="24"/>
          <w:lang w:val="sr-Latn-CS"/>
        </w:rPr>
        <w:t xml:space="preserve">,00 </w:t>
      </w:r>
      <w:r w:rsidR="00194026" w:rsidRPr="0058328A">
        <w:rPr>
          <w:rFonts w:ascii="Tw Cen MT" w:hAnsi="Tw Cen MT" w:cs="Times New Roman"/>
          <w:sz w:val="24"/>
          <w:szCs w:val="24"/>
          <w:lang w:val="sr-Latn-CS"/>
        </w:rPr>
        <w:t>x</w:t>
      </w:r>
      <w:r w:rsidR="00DA1DE8" w:rsidRPr="0058328A">
        <w:rPr>
          <w:rFonts w:ascii="Tw Cen MT" w:hAnsi="Tw Cen MT" w:cs="Times New Roman"/>
          <w:sz w:val="24"/>
          <w:szCs w:val="24"/>
          <w:lang w:val="sr-Latn-CS"/>
        </w:rPr>
        <w:t xml:space="preserve"> </w:t>
      </w:r>
      <w:r w:rsidR="005B1F30" w:rsidRPr="0058328A">
        <w:rPr>
          <w:rFonts w:ascii="Tw Cen MT" w:hAnsi="Tw Cen MT" w:cs="Times New Roman"/>
          <w:sz w:val="24"/>
          <w:szCs w:val="24"/>
          <w:lang w:val="sr-Latn-CS"/>
        </w:rPr>
        <w:t>20</w:t>
      </w:r>
      <w:r w:rsidR="00DA1DE8" w:rsidRPr="0058328A">
        <w:rPr>
          <w:rFonts w:ascii="Tw Cen MT" w:hAnsi="Tw Cen MT" w:cs="Times New Roman"/>
          <w:sz w:val="24"/>
          <w:szCs w:val="24"/>
          <w:lang w:val="sr-Latn-CS"/>
        </w:rPr>
        <w:t xml:space="preserve">,00 </w:t>
      </w:r>
      <w:r w:rsidR="00095BD4" w:rsidRPr="0058328A">
        <w:rPr>
          <w:rFonts w:ascii="Tw Cen MT" w:hAnsi="Tw Cen MT" w:cs="Times New Roman"/>
          <w:sz w:val="24"/>
          <w:szCs w:val="24"/>
          <w:lang w:val="sr-Latn-CS"/>
        </w:rPr>
        <w:t>m,</w:t>
      </w:r>
      <w:r w:rsidR="009D0986" w:rsidRPr="0058328A">
        <w:rPr>
          <w:rFonts w:ascii="Tw Cen MT" w:hAnsi="Tw Cen MT" w:cs="Times New Roman"/>
          <w:sz w:val="24"/>
          <w:szCs w:val="24"/>
          <w:lang w:val="sr-Latn-CS"/>
        </w:rPr>
        <w:t xml:space="preserve"> </w:t>
      </w:r>
      <w:r w:rsidR="007E542B" w:rsidRPr="0058328A">
        <w:rPr>
          <w:rFonts w:ascii="Tw Cen MT" w:hAnsi="Tw Cen MT" w:cs="Times New Roman"/>
          <w:sz w:val="24"/>
          <w:szCs w:val="24"/>
          <w:lang w:val="sr-Latn-CS"/>
        </w:rPr>
        <w:t>spratnosti  P+1</w:t>
      </w:r>
      <w:r w:rsidR="003E3C0E" w:rsidRPr="0058328A">
        <w:rPr>
          <w:rFonts w:ascii="Tw Cen MT" w:hAnsi="Tw Cen MT" w:cs="Times New Roman"/>
          <w:sz w:val="24"/>
          <w:szCs w:val="24"/>
          <w:lang w:val="sr-Latn-CS"/>
        </w:rPr>
        <w:t>.</w:t>
      </w:r>
    </w:p>
    <w:p w:rsidR="00F536F6" w:rsidRPr="0058328A" w:rsidRDefault="00F536F6" w:rsidP="00F536F6">
      <w:pPr>
        <w:pStyle w:val="ListParagraph"/>
        <w:ind w:left="360"/>
        <w:jc w:val="both"/>
        <w:rPr>
          <w:rFonts w:ascii="Tw Cen MT" w:hAnsi="Tw Cen MT" w:cs="Times New Roman"/>
          <w:sz w:val="24"/>
          <w:szCs w:val="24"/>
          <w:lang w:val="sr-Latn-CS"/>
        </w:rPr>
      </w:pPr>
    </w:p>
    <w:p w:rsidR="00F536F6" w:rsidRPr="0058328A" w:rsidRDefault="002159B5" w:rsidP="00F536F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  <w:lang w:val="sr-Latn-CS"/>
        </w:rPr>
        <w:lastRenderedPageBreak/>
        <w:t>Nosilac projekta,</w:t>
      </w:r>
      <w:r w:rsidR="00095BD4" w:rsidRPr="0058328A">
        <w:rPr>
          <w:rFonts w:ascii="Tw Cen MT" w:hAnsi="Tw Cen MT" w:cs="Times New Roman"/>
          <w:sz w:val="24"/>
          <w:szCs w:val="24"/>
          <w:lang w:val="sr-Latn-CS"/>
        </w:rPr>
        <w:t xml:space="preserve"> </w:t>
      </w:r>
      <w:r w:rsidR="005B1F30" w:rsidRPr="0058328A">
        <w:rPr>
          <w:rFonts w:ascii="Tw Cen MT" w:hAnsi="Tw Cen MT" w:cs="Times New Roman"/>
          <w:sz w:val="24"/>
          <w:szCs w:val="24"/>
          <w:lang w:val="sr-Latn-CS"/>
        </w:rPr>
        <w:t>Joković Z</w:t>
      </w:r>
      <w:r w:rsidR="00FA4978" w:rsidRPr="0058328A">
        <w:rPr>
          <w:rFonts w:ascii="Tw Cen MT" w:hAnsi="Tw Cen MT" w:cs="Times New Roman"/>
          <w:sz w:val="24"/>
          <w:szCs w:val="24"/>
          <w:lang w:val="sr-Latn-CS"/>
        </w:rPr>
        <w:t>oran, „Joković Prestige Plus“ d.o.o.</w:t>
      </w:r>
      <w:r w:rsidR="005B1F30" w:rsidRPr="0058328A">
        <w:rPr>
          <w:rFonts w:ascii="Tw Cen MT" w:hAnsi="Tw Cen MT" w:cs="Times New Roman"/>
          <w:sz w:val="24"/>
          <w:szCs w:val="24"/>
          <w:lang w:val="sr-Latn-CS"/>
        </w:rPr>
        <w:t xml:space="preserve"> Nikšić</w:t>
      </w:r>
      <w:r w:rsidR="00095BD4" w:rsidRPr="0058328A">
        <w:rPr>
          <w:rFonts w:ascii="Tw Cen MT" w:hAnsi="Tw Cen MT" w:cs="Times New Roman"/>
          <w:sz w:val="24"/>
          <w:szCs w:val="24"/>
          <w:lang w:val="sr-Latn-CS"/>
        </w:rPr>
        <w:t>,</w:t>
      </w:r>
      <w:r w:rsidRPr="0058328A">
        <w:rPr>
          <w:rFonts w:ascii="Tw Cen MT" w:hAnsi="Tw Cen MT" w:cs="Times New Roman"/>
          <w:sz w:val="24"/>
          <w:szCs w:val="24"/>
          <w:lang w:val="sr-Latn-CS"/>
        </w:rPr>
        <w:t xml:space="preserve"> može </w:t>
      </w:r>
      <w:r w:rsidR="00B33852" w:rsidRPr="0058328A">
        <w:rPr>
          <w:rFonts w:ascii="Tw Cen MT" w:hAnsi="Tw Cen MT" w:cs="Times New Roman"/>
          <w:sz w:val="24"/>
          <w:szCs w:val="24"/>
          <w:lang w:val="sr-Latn-CS"/>
        </w:rPr>
        <w:t>pristupiti</w:t>
      </w:r>
      <w:r w:rsidR="00D30FA6" w:rsidRPr="0058328A">
        <w:rPr>
          <w:rFonts w:ascii="Tw Cen MT" w:hAnsi="Tw Cen MT" w:cs="Times New Roman"/>
          <w:sz w:val="24"/>
          <w:szCs w:val="24"/>
          <w:lang w:val="sr-Latn-CS"/>
        </w:rPr>
        <w:t xml:space="preserve"> </w:t>
      </w:r>
      <w:r w:rsidR="00B33852" w:rsidRPr="0058328A">
        <w:rPr>
          <w:rFonts w:ascii="Tw Cen MT" w:hAnsi="Tw Cen MT" w:cs="Times New Roman"/>
          <w:sz w:val="24"/>
          <w:szCs w:val="24"/>
          <w:lang w:val="sr-Latn-CS"/>
        </w:rPr>
        <w:t>izvođenju pro</w:t>
      </w:r>
      <w:r w:rsidR="00D30FA6" w:rsidRPr="0058328A">
        <w:rPr>
          <w:rFonts w:ascii="Tw Cen MT" w:hAnsi="Tw Cen MT" w:cs="Times New Roman"/>
          <w:sz w:val="24"/>
          <w:szCs w:val="24"/>
          <w:lang w:val="sr-Latn-CS"/>
        </w:rPr>
        <w:t xml:space="preserve">jekta </w:t>
      </w:r>
      <w:r w:rsidRPr="0058328A">
        <w:rPr>
          <w:rFonts w:ascii="Tw Cen MT" w:hAnsi="Tw Cen MT" w:cs="Times New Roman"/>
          <w:sz w:val="24"/>
          <w:szCs w:val="24"/>
          <w:lang w:val="sr-Latn-CS"/>
        </w:rPr>
        <w:t>iz tačke I ovog  rješenja, u skladu sa važećim tehničkim normativima i standardima propisanim za tu vrstu projekta, uz obavezu da pri funkcionisanju projekta primijeni potrebne mjere zaštite i  to:</w:t>
      </w:r>
    </w:p>
    <w:p w:rsidR="00ED5185" w:rsidRPr="0058328A" w:rsidRDefault="002159B5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</w:rPr>
      </w:pPr>
      <w:r w:rsidRPr="0058328A">
        <w:rPr>
          <w:rFonts w:ascii="Tw Cen MT" w:hAnsi="Tw Cen MT"/>
          <w:lang w:val="sr-Latn-CS"/>
        </w:rPr>
        <w:t>da se tokom izvođenja</w:t>
      </w:r>
      <w:r w:rsidR="00095BD4" w:rsidRPr="0058328A">
        <w:rPr>
          <w:rFonts w:ascii="Tw Cen MT" w:hAnsi="Tw Cen MT"/>
          <w:lang w:val="sr-Latn-CS"/>
        </w:rPr>
        <w:t xml:space="preserve"> radova </w:t>
      </w:r>
      <w:r w:rsidRPr="0058328A">
        <w:rPr>
          <w:rFonts w:ascii="Tw Cen MT" w:hAnsi="Tw Cen MT"/>
          <w:lang w:val="sr-Latn-CS"/>
        </w:rPr>
        <w:t>i funkcionisanja projekta izbjegnu ili na najmanju mjeru svedu ugrožavanje i oštećenje prirode, shodno članu 10 Zakona o zaštiti prirode (</w:t>
      </w:r>
      <w:r w:rsidR="00434397" w:rsidRPr="0058328A">
        <w:rPr>
          <w:rFonts w:ascii="Tw Cen MT" w:hAnsi="Tw Cen MT"/>
          <w:lang w:val="sr-Latn-CS"/>
        </w:rPr>
        <w:t xml:space="preserve"> </w:t>
      </w:r>
      <w:r w:rsidRPr="0058328A">
        <w:rPr>
          <w:rFonts w:ascii="Tw Cen MT" w:hAnsi="Tw Cen MT"/>
          <w:lang w:val="sr-Latn-CS"/>
        </w:rPr>
        <w:t>„S</w:t>
      </w:r>
      <w:r w:rsidR="009D0986" w:rsidRPr="0058328A">
        <w:rPr>
          <w:rFonts w:ascii="Tw Cen MT" w:hAnsi="Tw Cen MT"/>
          <w:lang w:val="sr-Latn-CS"/>
        </w:rPr>
        <w:t xml:space="preserve">l. list CG“, br. 51/08, </w:t>
      </w:r>
      <w:r w:rsidRPr="0058328A">
        <w:rPr>
          <w:rFonts w:ascii="Tw Cen MT" w:hAnsi="Tw Cen MT"/>
          <w:lang w:val="sr-Latn-CS"/>
        </w:rPr>
        <w:t>21/09</w:t>
      </w:r>
      <w:r w:rsidR="009D0986" w:rsidRPr="0058328A">
        <w:rPr>
          <w:rFonts w:ascii="Tw Cen MT" w:hAnsi="Tw Cen MT"/>
          <w:lang w:val="sr-Latn-CS"/>
        </w:rPr>
        <w:t xml:space="preserve"> i 40/11</w:t>
      </w:r>
      <w:r w:rsidR="00B33852" w:rsidRPr="0058328A">
        <w:rPr>
          <w:rFonts w:ascii="Tw Cen MT" w:hAnsi="Tw Cen MT"/>
          <w:lang w:val="sr-Latn-CS"/>
        </w:rPr>
        <w:t>, 62/13 i 06/14</w:t>
      </w:r>
      <w:r w:rsidR="00990C48" w:rsidRPr="0058328A">
        <w:rPr>
          <w:rFonts w:ascii="Tw Cen MT" w:hAnsi="Tw Cen MT"/>
          <w:lang w:val="sr-Latn-CS"/>
        </w:rPr>
        <w:t>);</w:t>
      </w:r>
    </w:p>
    <w:p w:rsidR="00F536F6" w:rsidRPr="0058328A" w:rsidRDefault="00ED5185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>da se vrši održavanje i redovno kvašenje pristupnih puteve kao i prostor u krugu poslovnog objekta</w:t>
      </w:r>
      <w:r w:rsidR="00FA4978" w:rsidRPr="0058328A">
        <w:rPr>
          <w:rFonts w:ascii="Tw Cen MT" w:hAnsi="Tw Cen MT"/>
        </w:rPr>
        <w:t>,</w:t>
      </w:r>
      <w:r w:rsidRPr="0058328A">
        <w:rPr>
          <w:rFonts w:ascii="Tw Cen MT" w:hAnsi="Tw Cen MT"/>
        </w:rPr>
        <w:t xml:space="preserve"> tokom</w:t>
      </w:r>
      <w:r w:rsidR="00FA4978" w:rsidRPr="0058328A">
        <w:rPr>
          <w:rFonts w:ascii="Tw Cen MT" w:hAnsi="Tw Cen MT"/>
        </w:rPr>
        <w:t xml:space="preserve"> izgradnje i</w:t>
      </w:r>
      <w:r w:rsidRPr="0058328A">
        <w:rPr>
          <w:rFonts w:ascii="Tw Cen MT" w:hAnsi="Tw Cen MT"/>
        </w:rPr>
        <w:t xml:space="preserve"> funkcionisanja projekta</w:t>
      </w:r>
      <w:r w:rsidR="00FA4978" w:rsidRPr="0058328A">
        <w:rPr>
          <w:rFonts w:ascii="Tw Cen MT" w:hAnsi="Tw Cen MT"/>
        </w:rPr>
        <w:t>,</w:t>
      </w:r>
      <w:r w:rsidRPr="0058328A">
        <w:rPr>
          <w:rFonts w:ascii="Tw Cen MT" w:hAnsi="Tw Cen MT"/>
        </w:rPr>
        <w:t xml:space="preserve"> namijenjen za manipulisanje mehanizacijom, a sve u cilju smanjenja prašine,</w:t>
      </w:r>
    </w:p>
    <w:p w:rsidR="005A0083" w:rsidRPr="0058328A" w:rsidRDefault="005A0083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</w:rPr>
      </w:pPr>
      <w:r w:rsidRPr="0058328A">
        <w:rPr>
          <w:rFonts w:ascii="Tw Cen MT" w:eastAsia="Calibri" w:hAnsi="Tw Cen MT"/>
        </w:rPr>
        <w:t>na mjestima gdje postoje vibracije potrebno je instalirati adekvatnu zvučnu izolaciju;</w:t>
      </w:r>
    </w:p>
    <w:p w:rsidR="005A0083" w:rsidRPr="0058328A" w:rsidRDefault="005A0083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  <w:bCs/>
        </w:rPr>
      </w:pPr>
      <w:r w:rsidRPr="0058328A">
        <w:rPr>
          <w:rFonts w:ascii="Tw Cen MT" w:hAnsi="Tw Cen MT"/>
        </w:rPr>
        <w:t xml:space="preserve">uskladiti nivo buke </w:t>
      </w:r>
      <w:r w:rsidR="00C91238" w:rsidRPr="0058328A">
        <w:rPr>
          <w:rFonts w:ascii="Tw Cen MT" w:hAnsi="Tw Cen MT"/>
        </w:rPr>
        <w:t xml:space="preserve">sa </w:t>
      </w:r>
      <w:r w:rsidRPr="0058328A">
        <w:rPr>
          <w:rFonts w:ascii="Tw Cen MT" w:hAnsi="Tw Cen MT"/>
          <w:bCs/>
        </w:rPr>
        <w:t>Pravilnik</w:t>
      </w:r>
      <w:r w:rsidR="00C91238" w:rsidRPr="0058328A">
        <w:rPr>
          <w:rFonts w:ascii="Tw Cen MT" w:hAnsi="Tw Cen MT"/>
          <w:bCs/>
        </w:rPr>
        <w:t>om</w:t>
      </w:r>
      <w:r w:rsidRPr="0058328A">
        <w:rPr>
          <w:rFonts w:ascii="Tw Cen MT" w:hAnsi="Tw Cen MT"/>
          <w:bCs/>
        </w:rPr>
        <w:t xml:space="preserve"> o graničnim vrijednostima buke u životnoj sredini, načinu utvrđivanja indikatora buke i akustičkih zona i metodama ocjenjivanja štetnih efekata buke, </w:t>
      </w:r>
      <w:r w:rsidR="00C91238" w:rsidRPr="0058328A">
        <w:rPr>
          <w:rFonts w:ascii="Tw Cen MT" w:hAnsi="Tw Cen MT"/>
        </w:rPr>
        <w:t>"Sl. list CG", br. 60/11</w:t>
      </w:r>
      <w:r w:rsidRPr="0058328A">
        <w:rPr>
          <w:rFonts w:ascii="Tw Cen MT" w:hAnsi="Tw Cen MT"/>
        </w:rPr>
        <w:t>,</w:t>
      </w:r>
    </w:p>
    <w:p w:rsidR="005A0083" w:rsidRPr="0058328A" w:rsidRDefault="00C91238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>izvrši</w:t>
      </w:r>
      <w:r w:rsidR="00FA4978" w:rsidRPr="0058328A">
        <w:rPr>
          <w:rFonts w:ascii="Tw Cen MT" w:hAnsi="Tw Cen MT"/>
        </w:rPr>
        <w:t>ti</w:t>
      </w:r>
      <w:r w:rsidRPr="0058328A">
        <w:rPr>
          <w:rFonts w:ascii="Tw Cen MT" w:hAnsi="Tw Cen MT"/>
        </w:rPr>
        <w:t xml:space="preserve"> mjerenje nivoa buke u zoni najbližeg stambenog objekta jednom godišnje;</w:t>
      </w:r>
    </w:p>
    <w:p w:rsidR="00B934FC" w:rsidRPr="0058328A" w:rsidRDefault="00B934FC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  <w:lang w:val="sr-Latn-CS"/>
        </w:rPr>
      </w:pPr>
      <w:r w:rsidRPr="0058328A">
        <w:rPr>
          <w:rFonts w:ascii="Tw Cen MT" w:hAnsi="Tw Cen MT"/>
          <w:lang w:val="sr-Latn-CS"/>
        </w:rPr>
        <w:t>sklopi</w:t>
      </w:r>
      <w:r w:rsidR="00FA4978" w:rsidRPr="0058328A">
        <w:rPr>
          <w:rFonts w:ascii="Tw Cen MT" w:hAnsi="Tw Cen MT"/>
          <w:lang w:val="sr-Latn-CS"/>
        </w:rPr>
        <w:t xml:space="preserve">ti </w:t>
      </w:r>
      <w:r w:rsidRPr="0058328A">
        <w:rPr>
          <w:rFonts w:ascii="Tw Cen MT" w:hAnsi="Tw Cen MT"/>
          <w:lang w:val="sr-Latn-CS"/>
        </w:rPr>
        <w:t xml:space="preserve"> ugovor za održavanje separatora sa ovlašćenim privrednim subjektom;</w:t>
      </w:r>
    </w:p>
    <w:p w:rsidR="00F536F6" w:rsidRPr="0058328A" w:rsidRDefault="007074D4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>uradi</w:t>
      </w:r>
      <w:r w:rsidR="00FA4978" w:rsidRPr="0058328A">
        <w:rPr>
          <w:rFonts w:ascii="Tw Cen MT" w:hAnsi="Tw Cen MT"/>
        </w:rPr>
        <w:t>ti</w:t>
      </w:r>
      <w:r w:rsidRPr="0058328A">
        <w:rPr>
          <w:rFonts w:ascii="Tw Cen MT" w:hAnsi="Tw Cen MT"/>
        </w:rPr>
        <w:t xml:space="preserve"> plan upravljanja otpadom shodno članu 26 Zakona o upravljanju otpadom („Sl. list CG“, br. 64/11);</w:t>
      </w:r>
    </w:p>
    <w:p w:rsidR="007074D4" w:rsidRPr="0058328A" w:rsidRDefault="007074D4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 xml:space="preserve">sklopiti ugovore sa ovlašćenim subjektima za upravljanje opasnim i komunalnim otpadom; </w:t>
      </w:r>
    </w:p>
    <w:p w:rsidR="007074D4" w:rsidRPr="0058328A" w:rsidRDefault="007074D4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>građevinski otpad nastao prilikom izvođenja radova na objektu, potrebno je ukloniti u što hitnijem roku podsredstvom ovlašćenog subjekta ili na lokaciju koja ispunjava uslove za odlaganje ove vrste otpada;</w:t>
      </w:r>
    </w:p>
    <w:p w:rsidR="007074D4" w:rsidRPr="0058328A" w:rsidRDefault="00FA4978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  <w:lang w:val="sr-Latn-CS"/>
        </w:rPr>
      </w:pPr>
      <w:r w:rsidRPr="0058328A">
        <w:rPr>
          <w:rFonts w:ascii="Tw Cen MT" w:hAnsi="Tw Cen MT"/>
        </w:rPr>
        <w:t>a</w:t>
      </w:r>
      <w:r w:rsidR="006508A7" w:rsidRPr="0058328A">
        <w:rPr>
          <w:rFonts w:ascii="Tw Cen MT" w:hAnsi="Tw Cen MT"/>
        </w:rPr>
        <w:t>tmosferske i površinske vode ne ispušta</w:t>
      </w:r>
      <w:r w:rsidR="005A0083" w:rsidRPr="0058328A">
        <w:rPr>
          <w:rFonts w:ascii="Tw Cen MT" w:hAnsi="Tw Cen MT"/>
        </w:rPr>
        <w:t xml:space="preserve">ti </w:t>
      </w:r>
      <w:r w:rsidR="006508A7" w:rsidRPr="0058328A">
        <w:rPr>
          <w:rFonts w:ascii="Tw Cen MT" w:hAnsi="Tw Cen MT"/>
        </w:rPr>
        <w:t>u septičke jame;</w:t>
      </w:r>
      <w:r w:rsidR="007074D4" w:rsidRPr="0058328A">
        <w:rPr>
          <w:rFonts w:ascii="Tw Cen MT" w:hAnsi="Tw Cen MT"/>
          <w:lang w:val="sr-Latn-CS"/>
        </w:rPr>
        <w:t xml:space="preserve"> </w:t>
      </w:r>
    </w:p>
    <w:p w:rsidR="006508A7" w:rsidRPr="0058328A" w:rsidRDefault="006508A7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>organizovati redovno pražnjenje septičke jame i zbrinjavanje nastalog otpada tokom  funkcionisanja i eventualnog prestanka rada projekta;</w:t>
      </w:r>
    </w:p>
    <w:p w:rsidR="007074D4" w:rsidRPr="0058328A" w:rsidRDefault="006508A7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</w:rPr>
      </w:pPr>
      <w:proofErr w:type="gramStart"/>
      <w:r w:rsidRPr="0058328A">
        <w:rPr>
          <w:rFonts w:ascii="Tw Cen MT" w:hAnsi="Tw Cen MT"/>
        </w:rPr>
        <w:t>u</w:t>
      </w:r>
      <w:proofErr w:type="gramEnd"/>
      <w:r w:rsidRPr="0058328A">
        <w:rPr>
          <w:rFonts w:ascii="Tw Cen MT" w:hAnsi="Tw Cen MT"/>
        </w:rPr>
        <w:t xml:space="preserve"> slučaju izlivanja ulja i drugih maziva tokom izgradnje i funkcionisanja projekta potrebno je primijeniti hitne mjere za saniranje terena na način da se zauljano zemljište mora sakupiti kao opasni otpad i odložiti u posude namijenjene za tu vrstu otpada. U ovom slučaju pri izlivanju potrebno je koristiti odgovarajući materijal radi absorpcije ulja. Ovaj otpad potrebno je predati ovlašćenom  preduzetniku za ovu vrstu otpada</w:t>
      </w:r>
      <w:r w:rsidR="00990C48" w:rsidRPr="0058328A">
        <w:rPr>
          <w:rFonts w:ascii="Tw Cen MT" w:hAnsi="Tw Cen MT"/>
        </w:rPr>
        <w:t>;</w:t>
      </w:r>
      <w:r w:rsidR="007074D4" w:rsidRPr="0058328A">
        <w:rPr>
          <w:rFonts w:ascii="Tw Cen MT" w:hAnsi="Tw Cen MT"/>
        </w:rPr>
        <w:t xml:space="preserve"> </w:t>
      </w:r>
    </w:p>
    <w:p w:rsidR="00990C48" w:rsidRPr="0058328A" w:rsidRDefault="007074D4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 xml:space="preserve">Za lakiranje automobila u ekološkim komorama isključivo koristiti ekološke boje </w:t>
      </w:r>
    </w:p>
    <w:p w:rsidR="006508A7" w:rsidRPr="0058328A" w:rsidRDefault="006508A7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>gubitak zelene površine nadomjestiti sadnjom autohtone drvena</w:t>
      </w:r>
      <w:r w:rsidR="00294308" w:rsidRPr="0058328A">
        <w:rPr>
          <w:rFonts w:ascii="Tw Cen MT" w:hAnsi="Tw Cen MT"/>
        </w:rPr>
        <w:t>st</w:t>
      </w:r>
      <w:r w:rsidRPr="0058328A">
        <w:rPr>
          <w:rFonts w:ascii="Tw Cen MT" w:hAnsi="Tw Cen MT"/>
        </w:rPr>
        <w:t>e vegetacije na predmetnoj lokaciji (hrast, jasen, grab, nar, košćela, kesten, brijest);</w:t>
      </w:r>
    </w:p>
    <w:p w:rsidR="00593030" w:rsidRPr="0058328A" w:rsidRDefault="002159B5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  <w:lang w:val="sr-Latn-CS"/>
        </w:rPr>
      </w:pPr>
      <w:r w:rsidRPr="0058328A">
        <w:rPr>
          <w:rFonts w:ascii="Tw Cen MT" w:hAnsi="Tw Cen MT"/>
          <w:lang w:val="sr-Latn-CS"/>
        </w:rPr>
        <w:t>ukoliko dođe do akcidenta, koji može ugr</w:t>
      </w:r>
      <w:r w:rsidR="00CC1364" w:rsidRPr="0058328A">
        <w:rPr>
          <w:rFonts w:ascii="Tw Cen MT" w:hAnsi="Tw Cen MT"/>
          <w:lang w:val="sr-Latn-CS"/>
        </w:rPr>
        <w:t xml:space="preserve">oziti životnu sredinu, prilikom </w:t>
      </w:r>
      <w:r w:rsidRPr="0058328A">
        <w:rPr>
          <w:rFonts w:ascii="Tw Cen MT" w:hAnsi="Tw Cen MT"/>
          <w:lang w:val="sr-Latn-CS"/>
        </w:rPr>
        <w:t xml:space="preserve">izvođenja, funkcionisanja ili prestanka funkcionisanja projekta, nosilac projekta </w:t>
      </w:r>
      <w:r w:rsidR="00593030" w:rsidRPr="0058328A">
        <w:rPr>
          <w:rFonts w:ascii="Tw Cen MT" w:hAnsi="Tw Cen MT"/>
          <w:lang w:val="sr-Latn-CS"/>
        </w:rPr>
        <w:t xml:space="preserve"> </w:t>
      </w:r>
    </w:p>
    <w:p w:rsidR="00F536F6" w:rsidRPr="0058328A" w:rsidRDefault="002159B5" w:rsidP="00F536F6">
      <w:pPr>
        <w:pStyle w:val="NoSpacing"/>
        <w:numPr>
          <w:ilvl w:val="0"/>
          <w:numId w:val="18"/>
        </w:numPr>
        <w:jc w:val="both"/>
        <w:rPr>
          <w:rFonts w:ascii="Tw Cen MT" w:hAnsi="Tw Cen MT"/>
          <w:lang w:val="sr-Latn-CS"/>
        </w:rPr>
      </w:pPr>
      <w:r w:rsidRPr="0058328A">
        <w:rPr>
          <w:rFonts w:ascii="Tw Cen MT" w:hAnsi="Tw Cen MT"/>
          <w:lang w:val="sr-Latn-CS"/>
        </w:rPr>
        <w:t>je dužan obavijestiti nadležni organ.</w:t>
      </w:r>
    </w:p>
    <w:p w:rsidR="00F536F6" w:rsidRPr="0058328A" w:rsidRDefault="00F536F6" w:rsidP="00F536F6">
      <w:pPr>
        <w:pStyle w:val="NoSpacing"/>
        <w:jc w:val="both"/>
        <w:rPr>
          <w:rFonts w:ascii="Tw Cen MT" w:hAnsi="Tw Cen MT"/>
          <w:lang w:val="sr-Latn-CS"/>
        </w:rPr>
      </w:pPr>
    </w:p>
    <w:p w:rsidR="00C569AF" w:rsidRPr="0058328A" w:rsidRDefault="00EB7FE7" w:rsidP="00F53EFD">
      <w:pPr>
        <w:pStyle w:val="Standard"/>
        <w:numPr>
          <w:ilvl w:val="0"/>
          <w:numId w:val="10"/>
        </w:numPr>
        <w:jc w:val="both"/>
        <w:rPr>
          <w:rFonts w:ascii="Tw Cen MT" w:hAnsi="Tw Cen MT" w:cs="Times New Roman"/>
        </w:rPr>
      </w:pPr>
      <w:r w:rsidRPr="0058328A">
        <w:rPr>
          <w:rFonts w:ascii="Tw Cen MT" w:hAnsi="Tw Cen MT" w:cs="Times New Roman"/>
        </w:rPr>
        <w:t>Nosilac projekta je dužan ovo R</w:t>
      </w:r>
      <w:r w:rsidR="00C569AF" w:rsidRPr="0058328A">
        <w:rPr>
          <w:rFonts w:ascii="Tw Cen MT" w:hAnsi="Tw Cen MT" w:cs="Times New Roman"/>
        </w:rPr>
        <w:t xml:space="preserve">ješenje dati </w:t>
      </w:r>
      <w:proofErr w:type="gramStart"/>
      <w:r w:rsidR="00C569AF" w:rsidRPr="0058328A">
        <w:rPr>
          <w:rFonts w:ascii="Tw Cen MT" w:hAnsi="Tw Cen MT" w:cs="Times New Roman"/>
        </w:rPr>
        <w:t>na</w:t>
      </w:r>
      <w:proofErr w:type="gramEnd"/>
      <w:r w:rsidR="00C569AF" w:rsidRPr="0058328A">
        <w:rPr>
          <w:rFonts w:ascii="Tw Cen MT" w:hAnsi="Tw Cen MT" w:cs="Times New Roman"/>
        </w:rPr>
        <w:t xml:space="preserve"> uvid obrađivaču tehničke dokumentacije, kako bi se navedene mjere ispoštovale pri implementaciji tehničke dokumentacije i iste provjerile u postupku tehničke kontrole i tehničkog pregleda projekta.</w:t>
      </w:r>
    </w:p>
    <w:p w:rsidR="00D25C00" w:rsidRPr="0058328A" w:rsidRDefault="00D25C00" w:rsidP="00F53EFD">
      <w:pPr>
        <w:ind w:left="360"/>
        <w:jc w:val="both"/>
        <w:rPr>
          <w:rFonts w:ascii="Tw Cen MT" w:hAnsi="Tw Cen MT"/>
          <w:lang w:val="sr-Latn-CS"/>
        </w:rPr>
      </w:pPr>
    </w:p>
    <w:p w:rsidR="002159B5" w:rsidRPr="0058328A" w:rsidRDefault="002159B5" w:rsidP="002159B5">
      <w:pPr>
        <w:pStyle w:val="ListParagraph"/>
        <w:numPr>
          <w:ilvl w:val="0"/>
          <w:numId w:val="10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  <w:lang w:val="sr-Latn-CS"/>
        </w:rPr>
        <w:lastRenderedPageBreak/>
        <w:t>U slučaju prenamjene ili proširenja kapaciteta projekta, obavezuje se nosilac projekta da podnese zahtjev nadležnom organu za odlučivanje o potrebi procjene uticaja na životnu sredinu.</w:t>
      </w:r>
    </w:p>
    <w:p w:rsidR="002159B5" w:rsidRPr="0058328A" w:rsidRDefault="002159B5" w:rsidP="002159B5">
      <w:pPr>
        <w:jc w:val="center"/>
        <w:rPr>
          <w:rFonts w:ascii="Tw Cen MT" w:hAnsi="Tw Cen MT"/>
          <w:b/>
          <w:lang w:val="sr-Latn-CS"/>
        </w:rPr>
      </w:pPr>
      <w:r w:rsidRPr="0058328A">
        <w:rPr>
          <w:rFonts w:ascii="Tw Cen MT" w:hAnsi="Tw Cen MT"/>
          <w:b/>
          <w:lang w:val="sr-Latn-CS"/>
        </w:rPr>
        <w:t>O b r a z l o ž e nj e</w:t>
      </w:r>
    </w:p>
    <w:p w:rsidR="002159B5" w:rsidRPr="0058328A" w:rsidRDefault="002159B5" w:rsidP="002159B5">
      <w:pPr>
        <w:rPr>
          <w:rFonts w:ascii="Tw Cen MT" w:hAnsi="Tw Cen MT"/>
          <w:b/>
          <w:lang w:val="sr-Latn-CS"/>
        </w:rPr>
      </w:pPr>
    </w:p>
    <w:p w:rsidR="002159B5" w:rsidRPr="0058328A" w:rsidRDefault="002159B5" w:rsidP="002159B5">
      <w:pPr>
        <w:jc w:val="both"/>
        <w:rPr>
          <w:rFonts w:ascii="Tw Cen MT" w:hAnsi="Tw Cen MT"/>
          <w:lang w:val="sr-Latn-CS"/>
        </w:rPr>
      </w:pPr>
      <w:r w:rsidRPr="0058328A">
        <w:rPr>
          <w:rFonts w:ascii="Tw Cen MT" w:hAnsi="Tw Cen MT"/>
          <w:lang w:val="sr-Latn-CS"/>
        </w:rPr>
        <w:t xml:space="preserve">Nosilac projekta </w:t>
      </w:r>
      <w:r w:rsidR="00ED5185" w:rsidRPr="0058328A">
        <w:rPr>
          <w:rFonts w:ascii="Tw Cen MT" w:hAnsi="Tw Cen MT"/>
          <w:lang w:val="sr-Latn-CS"/>
        </w:rPr>
        <w:t>Joković Zoran</w:t>
      </w:r>
      <w:r w:rsidR="00616EEE" w:rsidRPr="0058328A">
        <w:rPr>
          <w:rFonts w:ascii="Tw Cen MT" w:hAnsi="Tw Cen MT"/>
          <w:lang w:val="sr-Latn-CS"/>
        </w:rPr>
        <w:t>, „Joković Prestige Plus“</w:t>
      </w:r>
      <w:r w:rsidR="005B1F30" w:rsidRPr="0058328A">
        <w:rPr>
          <w:rFonts w:ascii="Tw Cen MT" w:hAnsi="Tw Cen MT"/>
          <w:lang w:val="sr-Latn-CS"/>
        </w:rPr>
        <w:t xml:space="preserve"> </w:t>
      </w:r>
      <w:r w:rsidR="00616EEE" w:rsidRPr="0058328A">
        <w:rPr>
          <w:rFonts w:ascii="Tw Cen MT" w:hAnsi="Tw Cen MT"/>
          <w:lang w:val="sr-Latn-CS"/>
        </w:rPr>
        <w:t>d.o.o.</w:t>
      </w:r>
      <w:r w:rsidR="005B1F30" w:rsidRPr="0058328A">
        <w:rPr>
          <w:rFonts w:ascii="Tw Cen MT" w:hAnsi="Tw Cen MT"/>
          <w:lang w:val="sr-Latn-CS"/>
        </w:rPr>
        <w:t xml:space="preserve"> Nikšić</w:t>
      </w:r>
      <w:r w:rsidR="00095BD4" w:rsidRPr="0058328A">
        <w:rPr>
          <w:rFonts w:ascii="Tw Cen MT" w:hAnsi="Tw Cen MT"/>
          <w:lang w:val="sr-Latn-CS"/>
        </w:rPr>
        <w:t xml:space="preserve">,  </w:t>
      </w:r>
      <w:r w:rsidRPr="0058328A">
        <w:rPr>
          <w:rFonts w:ascii="Tw Cen MT" w:hAnsi="Tw Cen MT"/>
          <w:lang w:val="sr-Latn-CS"/>
        </w:rPr>
        <w:t>obrati</w:t>
      </w:r>
      <w:r w:rsidR="001E2996" w:rsidRPr="0058328A">
        <w:rPr>
          <w:rFonts w:ascii="Tw Cen MT" w:hAnsi="Tw Cen MT"/>
          <w:lang w:val="sr-Latn-CS"/>
        </w:rPr>
        <w:t xml:space="preserve">o se </w:t>
      </w:r>
      <w:r w:rsidRPr="0058328A">
        <w:rPr>
          <w:rFonts w:ascii="Tw Cen MT" w:hAnsi="Tw Cen MT"/>
          <w:lang w:val="sr-Latn-CS"/>
        </w:rPr>
        <w:t>zahtjevom broj 03-032-</w:t>
      </w:r>
      <w:r w:rsidR="00C569AF" w:rsidRPr="0058328A">
        <w:rPr>
          <w:rFonts w:ascii="Tw Cen MT" w:hAnsi="Tw Cen MT"/>
          <w:lang w:val="sr-Latn-CS"/>
        </w:rPr>
        <w:t>5-UP-</w:t>
      </w:r>
      <w:r w:rsidR="005B1F30" w:rsidRPr="0058328A">
        <w:rPr>
          <w:rFonts w:ascii="Tw Cen MT" w:hAnsi="Tw Cen MT"/>
          <w:lang w:val="sr-Latn-CS"/>
        </w:rPr>
        <w:t>84</w:t>
      </w:r>
      <w:r w:rsidR="00D25C00" w:rsidRPr="0058328A">
        <w:rPr>
          <w:rFonts w:ascii="Tw Cen MT" w:hAnsi="Tw Cen MT"/>
          <w:lang w:val="sr-Latn-CS"/>
        </w:rPr>
        <w:t xml:space="preserve"> </w:t>
      </w:r>
      <w:r w:rsidR="00C569AF" w:rsidRPr="0058328A">
        <w:rPr>
          <w:rFonts w:ascii="Tw Cen MT" w:hAnsi="Tw Cen MT"/>
          <w:lang w:val="sr-Latn-CS"/>
        </w:rPr>
        <w:t xml:space="preserve">od </w:t>
      </w:r>
      <w:r w:rsidR="005B1F30" w:rsidRPr="0058328A">
        <w:rPr>
          <w:rFonts w:ascii="Tw Cen MT" w:hAnsi="Tw Cen MT"/>
          <w:lang w:val="sr-Latn-CS"/>
        </w:rPr>
        <w:t>15.04</w:t>
      </w:r>
      <w:r w:rsidR="00C569AF" w:rsidRPr="0058328A">
        <w:rPr>
          <w:rFonts w:ascii="Tw Cen MT" w:hAnsi="Tw Cen MT"/>
          <w:lang w:val="sr-Latn-CS"/>
        </w:rPr>
        <w:t>.2016</w:t>
      </w:r>
      <w:r w:rsidR="00D25C00" w:rsidRPr="0058328A">
        <w:rPr>
          <w:rFonts w:ascii="Tw Cen MT" w:hAnsi="Tw Cen MT"/>
          <w:lang w:val="sr-Latn-CS"/>
        </w:rPr>
        <w:t>. godine,</w:t>
      </w:r>
      <w:r w:rsidRPr="0058328A">
        <w:rPr>
          <w:rFonts w:ascii="Tw Cen MT" w:hAnsi="Tw Cen MT"/>
          <w:lang w:val="sr-Latn-CS"/>
        </w:rPr>
        <w:t xml:space="preserve"> Sekretar</w:t>
      </w:r>
      <w:r w:rsidR="00C569AF" w:rsidRPr="0058328A">
        <w:rPr>
          <w:rFonts w:ascii="Tw Cen MT" w:hAnsi="Tw Cen MT"/>
          <w:lang w:val="sr-Latn-CS"/>
        </w:rPr>
        <w:t>ijatu za urbanizam, komunalne,</w:t>
      </w:r>
      <w:r w:rsidRPr="0058328A">
        <w:rPr>
          <w:rFonts w:ascii="Tw Cen MT" w:hAnsi="Tw Cen MT"/>
          <w:lang w:val="sr-Latn-CS"/>
        </w:rPr>
        <w:t xml:space="preserve"> stambene poslove</w:t>
      </w:r>
      <w:r w:rsidR="00C569AF" w:rsidRPr="0058328A">
        <w:rPr>
          <w:rFonts w:ascii="Tw Cen MT" w:hAnsi="Tw Cen MT"/>
          <w:lang w:val="sr-Latn-CS"/>
        </w:rPr>
        <w:t>, saobraćaj</w:t>
      </w:r>
      <w:r w:rsidRPr="0058328A">
        <w:rPr>
          <w:rFonts w:ascii="Tw Cen MT" w:hAnsi="Tw Cen MT"/>
          <w:lang w:val="sr-Latn-CS"/>
        </w:rPr>
        <w:t xml:space="preserve"> i zaštitu životne sredine, za odlučivanje o potrebi procjene uticaja </w:t>
      </w:r>
      <w:r w:rsidR="001E2996" w:rsidRPr="0058328A">
        <w:rPr>
          <w:rFonts w:ascii="Tw Cen MT" w:hAnsi="Tw Cen MT"/>
          <w:lang w:val="sr-Latn-CS"/>
        </w:rPr>
        <w:t xml:space="preserve">poslovnog </w:t>
      </w:r>
      <w:r w:rsidR="00C569AF" w:rsidRPr="0058328A">
        <w:rPr>
          <w:rFonts w:ascii="Tw Cen MT" w:hAnsi="Tw Cen MT"/>
          <w:lang w:val="sr-Latn-CS"/>
        </w:rPr>
        <w:t xml:space="preserve">objekta </w:t>
      </w:r>
      <w:r w:rsidR="005B1F30" w:rsidRPr="0058328A">
        <w:rPr>
          <w:rFonts w:ascii="Tw Cen MT" w:hAnsi="Tw Cen MT"/>
          <w:lang w:val="sr-Latn-CS"/>
        </w:rPr>
        <w:t>limarsko-lakirerske radionice</w:t>
      </w:r>
      <w:r w:rsidR="00C569AF" w:rsidRPr="0058328A">
        <w:rPr>
          <w:rFonts w:ascii="Tw Cen MT" w:hAnsi="Tw Cen MT"/>
          <w:lang w:val="sr-Latn-CS"/>
        </w:rPr>
        <w:t>, koji se nalazi na kat. parcel</w:t>
      </w:r>
      <w:r w:rsidR="005B1F30" w:rsidRPr="0058328A">
        <w:rPr>
          <w:rFonts w:ascii="Tw Cen MT" w:hAnsi="Tw Cen MT"/>
          <w:lang w:val="sr-Latn-CS"/>
        </w:rPr>
        <w:t>i</w:t>
      </w:r>
      <w:r w:rsidR="00C569AF" w:rsidRPr="0058328A">
        <w:rPr>
          <w:rFonts w:ascii="Tw Cen MT" w:hAnsi="Tw Cen MT"/>
          <w:lang w:val="sr-Latn-CS"/>
        </w:rPr>
        <w:t xml:space="preserve"> </w:t>
      </w:r>
      <w:r w:rsidR="005B1F30" w:rsidRPr="0058328A">
        <w:rPr>
          <w:rFonts w:ascii="Tw Cen MT" w:hAnsi="Tw Cen MT"/>
          <w:lang w:val="sr-Latn-CS"/>
        </w:rPr>
        <w:t>845/8, KO Bandići</w:t>
      </w:r>
      <w:r w:rsidR="00C569AF" w:rsidRPr="0058328A">
        <w:rPr>
          <w:rFonts w:ascii="Tw Cen MT" w:hAnsi="Tw Cen MT"/>
          <w:lang w:val="sr-Latn-CS"/>
        </w:rPr>
        <w:t xml:space="preserve">, opština Danilovgrad, dimenzija u osnovi </w:t>
      </w:r>
      <w:r w:rsidR="005B1F30" w:rsidRPr="0058328A">
        <w:rPr>
          <w:rFonts w:ascii="Tw Cen MT" w:hAnsi="Tw Cen MT"/>
          <w:lang w:val="sr-Latn-CS"/>
        </w:rPr>
        <w:t>35,00 X 2</w:t>
      </w:r>
      <w:r w:rsidR="00C569AF" w:rsidRPr="0058328A">
        <w:rPr>
          <w:rFonts w:ascii="Tw Cen MT" w:hAnsi="Tw Cen MT"/>
          <w:lang w:val="sr-Latn-CS"/>
        </w:rPr>
        <w:t>0,00 m, spratnosti  P+1</w:t>
      </w:r>
      <w:r w:rsidR="003E3C0E" w:rsidRPr="0058328A">
        <w:rPr>
          <w:rFonts w:ascii="Tw Cen MT" w:hAnsi="Tw Cen MT"/>
          <w:lang w:val="sr-Latn-CS"/>
        </w:rPr>
        <w:t>.</w:t>
      </w:r>
    </w:p>
    <w:p w:rsidR="00761717" w:rsidRPr="0058328A" w:rsidRDefault="00761717" w:rsidP="00761717">
      <w:pPr>
        <w:pStyle w:val="Standard"/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>Postupajući po zahtjevu nosioca projekta, a shodno odredbama člana 12 Zakona o procjeni uticaja na životnu sredinu („Sl. list RCG“, br. 80/05 i „Sl. list CG“, br. 40/10, 73/10, 40/11 i 27/13)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761717" w:rsidRPr="0058328A" w:rsidRDefault="00761717" w:rsidP="00761717">
      <w:pPr>
        <w:pStyle w:val="Standard"/>
        <w:jc w:val="both"/>
        <w:rPr>
          <w:rFonts w:ascii="Tw Cen MT" w:hAnsi="Tw Cen MT"/>
        </w:rPr>
      </w:pPr>
    </w:p>
    <w:p w:rsidR="00761717" w:rsidRPr="0058328A" w:rsidRDefault="00761717" w:rsidP="00761717">
      <w:pPr>
        <w:pStyle w:val="Standard"/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 xml:space="preserve">Razmatranjem zahtjeva nosioca projekta i podataka o predmetnoj lokaciji, karakteristikama i mogućim uticajima navedenog projekta </w:t>
      </w:r>
      <w:proofErr w:type="gramStart"/>
      <w:r w:rsidRPr="0058328A">
        <w:rPr>
          <w:rFonts w:ascii="Tw Cen MT" w:hAnsi="Tw Cen MT"/>
        </w:rPr>
        <w:t>na</w:t>
      </w:r>
      <w:proofErr w:type="gramEnd"/>
      <w:r w:rsidRPr="0058328A">
        <w:rPr>
          <w:rFonts w:ascii="Tw Cen MT" w:hAnsi="Tw Cen MT"/>
        </w:rPr>
        <w:t xml:space="preserve"> životnu sredinu, Sekretarijat za urbanizam, komunalne, stambene poslove, saobraćaj i zaštitu životne sredine utvrdio je razloge za donošenje ovog rješenja:</w:t>
      </w:r>
    </w:p>
    <w:p w:rsidR="002159B5" w:rsidRPr="0058328A" w:rsidRDefault="00990C48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  <w:lang w:val="sr-Latn-CS"/>
        </w:rPr>
        <w:t>N</w:t>
      </w:r>
      <w:r w:rsidR="00761717" w:rsidRPr="0058328A">
        <w:rPr>
          <w:rFonts w:ascii="Tw Cen MT" w:hAnsi="Tw Cen MT" w:cs="Times New Roman"/>
          <w:sz w:val="24"/>
          <w:szCs w:val="24"/>
          <w:lang w:val="sr-Latn-CS"/>
        </w:rPr>
        <w:t xml:space="preserve">avedenim projektom </w:t>
      </w:r>
      <w:r w:rsidR="003E3C0E" w:rsidRPr="0058328A">
        <w:rPr>
          <w:rFonts w:ascii="Tw Cen MT" w:hAnsi="Tw Cen MT" w:cs="Times New Roman"/>
          <w:sz w:val="24"/>
          <w:szCs w:val="24"/>
          <w:lang w:val="sr-Latn-CS"/>
        </w:rPr>
        <w:t>planirana je izgradnja poslovnog</w:t>
      </w:r>
      <w:r w:rsidR="00761717" w:rsidRPr="0058328A">
        <w:rPr>
          <w:rFonts w:ascii="Tw Cen MT" w:hAnsi="Tw Cen MT" w:cs="Times New Roman"/>
          <w:sz w:val="24"/>
          <w:szCs w:val="24"/>
          <w:lang w:val="sr-Latn-CS"/>
        </w:rPr>
        <w:t xml:space="preserve"> objekta </w:t>
      </w:r>
      <w:r w:rsidR="003E3C0E" w:rsidRPr="0058328A">
        <w:rPr>
          <w:rFonts w:ascii="Tw Cen MT" w:hAnsi="Tw Cen MT" w:cs="Times New Roman"/>
          <w:sz w:val="24"/>
          <w:szCs w:val="24"/>
          <w:lang w:val="sr-Latn-CS"/>
        </w:rPr>
        <w:t>limarsko-lakirerske radionce</w:t>
      </w:r>
      <w:r w:rsidR="00761717" w:rsidRPr="0058328A">
        <w:rPr>
          <w:rFonts w:ascii="Tw Cen MT" w:hAnsi="Tw Cen MT" w:cs="Times New Roman"/>
          <w:sz w:val="24"/>
          <w:szCs w:val="24"/>
          <w:lang w:val="sr-Latn-CS"/>
        </w:rPr>
        <w:t>, na kat. parcel</w:t>
      </w:r>
      <w:r w:rsidR="003E3C0E" w:rsidRPr="0058328A">
        <w:rPr>
          <w:rFonts w:ascii="Tw Cen MT" w:hAnsi="Tw Cen MT" w:cs="Times New Roman"/>
          <w:sz w:val="24"/>
          <w:szCs w:val="24"/>
          <w:lang w:val="sr-Latn-CS"/>
        </w:rPr>
        <w:t>i br.</w:t>
      </w:r>
      <w:r w:rsidR="00761717" w:rsidRPr="0058328A">
        <w:rPr>
          <w:rFonts w:ascii="Tw Cen MT" w:hAnsi="Tw Cen MT" w:cs="Times New Roman"/>
          <w:sz w:val="24"/>
          <w:szCs w:val="24"/>
          <w:lang w:val="sr-Latn-CS"/>
        </w:rPr>
        <w:t xml:space="preserve"> </w:t>
      </w:r>
      <w:r w:rsidR="003E3C0E" w:rsidRPr="0058328A">
        <w:rPr>
          <w:rFonts w:ascii="Tw Cen MT" w:hAnsi="Tw Cen MT" w:cs="Times New Roman"/>
          <w:sz w:val="24"/>
          <w:szCs w:val="24"/>
          <w:lang w:val="sr-Latn-CS"/>
        </w:rPr>
        <w:t>845/8</w:t>
      </w:r>
      <w:r w:rsidR="00CC1364" w:rsidRPr="0058328A">
        <w:rPr>
          <w:rFonts w:ascii="Tw Cen MT" w:hAnsi="Tw Cen MT" w:cs="Times New Roman"/>
          <w:sz w:val="24"/>
          <w:szCs w:val="24"/>
          <w:lang w:val="sr-Latn-CS"/>
        </w:rPr>
        <w:t xml:space="preserve"> KO </w:t>
      </w:r>
      <w:r w:rsidR="003E3C0E" w:rsidRPr="0058328A">
        <w:rPr>
          <w:rFonts w:ascii="Tw Cen MT" w:hAnsi="Tw Cen MT" w:cs="Times New Roman"/>
          <w:sz w:val="24"/>
          <w:szCs w:val="24"/>
          <w:lang w:val="sr-Latn-CS"/>
        </w:rPr>
        <w:t>Bandići</w:t>
      </w:r>
      <w:r w:rsidR="00CC1364" w:rsidRPr="0058328A">
        <w:rPr>
          <w:rFonts w:ascii="Tw Cen MT" w:hAnsi="Tw Cen MT" w:cs="Times New Roman"/>
          <w:sz w:val="24"/>
          <w:szCs w:val="24"/>
          <w:lang w:val="sr-Latn-CS"/>
        </w:rPr>
        <w:t>, Danilovgrad.</w:t>
      </w:r>
      <w:r w:rsidR="00F36F10" w:rsidRPr="0058328A">
        <w:rPr>
          <w:rFonts w:ascii="Tw Cen MT" w:hAnsi="Tw Cen MT" w:cs="Times New Roman"/>
          <w:sz w:val="24"/>
          <w:szCs w:val="24"/>
          <w:lang w:val="sr-Latn-CS"/>
        </w:rPr>
        <w:t xml:space="preserve"> </w:t>
      </w:r>
    </w:p>
    <w:p w:rsidR="00A07A55" w:rsidRPr="0058328A" w:rsidRDefault="00F36F10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  <w:lang w:val="sr-Latn-CS"/>
        </w:rPr>
        <w:t xml:space="preserve">Novoprojektovani objekat je spratnosti P+1. Namjena je poslovni objekat sa skladišnim prostorom. Sam novoprojektovani objekat je pretežno pravougaonog gabarita i zadovoljava sve parametre tražene UTU-ima. </w:t>
      </w:r>
    </w:p>
    <w:p w:rsidR="00BE450B" w:rsidRPr="0058328A" w:rsidRDefault="00434397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>S</w:t>
      </w:r>
      <w:r w:rsidR="00BE450B" w:rsidRPr="0058328A">
        <w:rPr>
          <w:rFonts w:ascii="Tw Cen MT" w:hAnsi="Tw Cen MT" w:cs="Times New Roman"/>
          <w:sz w:val="24"/>
          <w:szCs w:val="24"/>
        </w:rPr>
        <w:t>hodno Uredbi o objektima za koje se vrši procjena uticaja na životnu sredinu (,</w:t>
      </w:r>
      <w:proofErr w:type="gramStart"/>
      <w:r w:rsidR="00BE450B" w:rsidRPr="0058328A">
        <w:rPr>
          <w:rFonts w:ascii="Tw Cen MT" w:hAnsi="Tw Cen MT" w:cs="Times New Roman"/>
          <w:sz w:val="24"/>
          <w:szCs w:val="24"/>
        </w:rPr>
        <w:t>,Sl</w:t>
      </w:r>
      <w:proofErr w:type="gramEnd"/>
      <w:r w:rsidR="00BE450B" w:rsidRPr="0058328A">
        <w:rPr>
          <w:rFonts w:ascii="Tw Cen MT" w:hAnsi="Tw Cen MT" w:cs="Times New Roman"/>
          <w:sz w:val="24"/>
          <w:szCs w:val="24"/>
        </w:rPr>
        <w:t>. list RCG’’, br. 20/07, ,,Sl. list CG’’, br. 47/13 i 53/14) objekat se nalazi na listi II projekata za koje se može zahtijevati proc</w:t>
      </w:r>
      <w:r w:rsidR="000F1E85" w:rsidRPr="0058328A">
        <w:rPr>
          <w:rFonts w:ascii="Tw Cen MT" w:hAnsi="Tw Cen MT" w:cs="Times New Roman"/>
          <w:sz w:val="24"/>
          <w:szCs w:val="24"/>
        </w:rPr>
        <w:t>jena uticaja na životnu sredinu.</w:t>
      </w:r>
    </w:p>
    <w:p w:rsidR="00B934FC" w:rsidRPr="0058328A" w:rsidRDefault="003E3C0E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 xml:space="preserve">Prostor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na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kojem će biti stacioniran budući poslovni objekat opisivane namjene nalazi se u zoni obavljanja poslovnih tj.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industrijskih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aktivnosti.</w:t>
      </w:r>
    </w:p>
    <w:p w:rsidR="003E3C0E" w:rsidRPr="0058328A" w:rsidRDefault="003E3C0E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 xml:space="preserve">Riječ je o ruralnom području Opštine Danilovgrad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sa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malom gustinom naseljenosti. Najbliži stambeni objekat se nalazi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sa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južne i istočne strane lokacije na udaljenosti oko 150 m.  Inače, okolni teren predstavlja kraško područje bez prisustva vodenih tokova. Na samoj predmetnoj lokaciji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nema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prirodnih dobara koja su ili bi trebalo biti zaštićena.</w:t>
      </w:r>
    </w:p>
    <w:p w:rsidR="00F36F10" w:rsidRPr="0058328A" w:rsidRDefault="00F36F10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 xml:space="preserve">Predmetni objekat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će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se snadbijevati vodom za sve potrebe sa lokalnog seoskog vodovoda koji se pruža neposredno sa sjeverne strane budućeg poslovnog objekta. Priključak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će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se nalaziti u blizini puta sa sjeverne strane predmetnog postrojenja.</w:t>
      </w:r>
    </w:p>
    <w:p w:rsidR="00F36F10" w:rsidRPr="0058328A" w:rsidRDefault="00F36F10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>Priključenje glavnih odvodnih fekalnih kanala objekta izvršit će se na septičku jamu</w:t>
      </w:r>
      <w:r w:rsidR="006521C3" w:rsidRPr="0058328A">
        <w:rPr>
          <w:rFonts w:ascii="Tw Cen MT" w:hAnsi="Tw Cen MT" w:cs="Times New Roman"/>
          <w:sz w:val="24"/>
          <w:szCs w:val="24"/>
        </w:rPr>
        <w:t xml:space="preserve"> Na</w:t>
      </w:r>
      <w:r w:rsidR="0074182C" w:rsidRPr="0058328A">
        <w:rPr>
          <w:rFonts w:ascii="Tw Cen MT" w:hAnsi="Tw Cen MT" w:cs="Times New Roman"/>
          <w:sz w:val="24"/>
          <w:szCs w:val="24"/>
        </w:rPr>
        <w:t xml:space="preserve"> lokaciji gdje se izvodi objekat, odvod je predviđen u novoprojektovanu septičku jamu tipa </w:t>
      </w:r>
      <w:proofErr w:type="gramStart"/>
      <w:r w:rsidR="0074182C" w:rsidRPr="0058328A">
        <w:rPr>
          <w:rFonts w:ascii="Tw Cen MT" w:hAnsi="Tw Cen MT" w:cs="Times New Roman"/>
          <w:sz w:val="24"/>
          <w:szCs w:val="24"/>
        </w:rPr>
        <w:t>,,EMSER’’</w:t>
      </w:r>
      <w:proofErr w:type="gramEnd"/>
      <w:r w:rsidR="0074182C" w:rsidRPr="0058328A">
        <w:rPr>
          <w:rFonts w:ascii="Tw Cen MT" w:hAnsi="Tw Cen MT" w:cs="Times New Roman"/>
          <w:sz w:val="24"/>
          <w:szCs w:val="24"/>
        </w:rPr>
        <w:t>, dimenzija 310 x 190 x 300 cm.</w:t>
      </w:r>
    </w:p>
    <w:p w:rsidR="00990C48" w:rsidRPr="0058328A" w:rsidRDefault="0074182C" w:rsidP="00616EEE">
      <w:pPr>
        <w:pStyle w:val="ListParagraph"/>
        <w:numPr>
          <w:ilvl w:val="0"/>
          <w:numId w:val="19"/>
        </w:numPr>
        <w:jc w:val="both"/>
        <w:rPr>
          <w:rFonts w:ascii="Tw Cen MT" w:hAnsi="Tw Cen MT"/>
          <w:sz w:val="24"/>
          <w:szCs w:val="24"/>
          <w:lang w:val="sr-Latn-CS"/>
        </w:rPr>
      </w:pPr>
      <w:r w:rsidRPr="0058328A">
        <w:rPr>
          <w:rFonts w:ascii="Tw Cen MT" w:hAnsi="Tw Cen MT"/>
          <w:sz w:val="24"/>
          <w:szCs w:val="24"/>
          <w:lang w:val="sr-Latn-CS"/>
        </w:rPr>
        <w:lastRenderedPageBreak/>
        <w:t xml:space="preserve">Pošto je projektom planirana radionica za usluge lakiranja motornih vozila, sa radnog poda radionice i sa platoa gdje se nalazi parking prostor može doći do spiranja voda koje sa sobom mogu ponijeti lake naftne derivate. Ovakve vode se ne smiju, shodno domaćim i međunarodnim propisima, ispuštati u recipijent bez prethodnog tretmana. Zbog toga je predviđeno da se ove vode sprovode najprije u separator lakih naftnih derivata, pa zatim prečišćene </w:t>
      </w:r>
      <w:r w:rsidR="00392697" w:rsidRPr="0058328A">
        <w:rPr>
          <w:rFonts w:ascii="Tw Cen MT" w:hAnsi="Tw Cen MT"/>
          <w:sz w:val="24"/>
          <w:szCs w:val="24"/>
          <w:lang w:val="sr-Latn-CS"/>
        </w:rPr>
        <w:t>pumpom će se ponovo vraćati u objekat gdje će se koristiti za pranje vozila – recirkulacija.</w:t>
      </w:r>
      <w:r w:rsidR="00A07A55" w:rsidRPr="0058328A">
        <w:rPr>
          <w:rFonts w:ascii="Tw Cen MT" w:hAnsi="Tw Cen MT"/>
          <w:sz w:val="24"/>
          <w:szCs w:val="24"/>
        </w:rPr>
        <w:t xml:space="preserve"> Predviđena je primjena koalescentnog separatora lakih naftnih derivate za ugradnju u zemlju, </w:t>
      </w:r>
      <w:proofErr w:type="gramStart"/>
      <w:r w:rsidR="00A07A55" w:rsidRPr="0058328A">
        <w:rPr>
          <w:rFonts w:ascii="Tw Cen MT" w:hAnsi="Tw Cen MT"/>
          <w:sz w:val="24"/>
          <w:szCs w:val="24"/>
        </w:rPr>
        <w:t>od</w:t>
      </w:r>
      <w:proofErr w:type="gramEnd"/>
      <w:r w:rsidR="00A07A55" w:rsidRPr="0058328A">
        <w:rPr>
          <w:rFonts w:ascii="Tw Cen MT" w:hAnsi="Tw Cen MT"/>
          <w:sz w:val="24"/>
          <w:szCs w:val="24"/>
        </w:rPr>
        <w:t xml:space="preserve"> polietilena sa integrisanim taložnikom. Separator je konstruisan i proizveden u skladu </w:t>
      </w:r>
      <w:proofErr w:type="gramStart"/>
      <w:r w:rsidR="00A07A55" w:rsidRPr="0058328A">
        <w:rPr>
          <w:rFonts w:ascii="Tw Cen MT" w:hAnsi="Tw Cen MT"/>
          <w:sz w:val="24"/>
          <w:szCs w:val="24"/>
        </w:rPr>
        <w:t>sa</w:t>
      </w:r>
      <w:proofErr w:type="gramEnd"/>
      <w:r w:rsidR="00A07A55" w:rsidRPr="0058328A">
        <w:rPr>
          <w:rFonts w:ascii="Tw Cen MT" w:hAnsi="Tw Cen MT"/>
          <w:sz w:val="24"/>
          <w:szCs w:val="24"/>
        </w:rPr>
        <w:t xml:space="preserve"> SRPS EN 858. Efikasnost </w:t>
      </w:r>
      <w:proofErr w:type="gramStart"/>
      <w:r w:rsidR="00A07A55" w:rsidRPr="0058328A">
        <w:rPr>
          <w:rFonts w:ascii="Tw Cen MT" w:hAnsi="Tw Cen MT"/>
          <w:sz w:val="24"/>
          <w:szCs w:val="24"/>
        </w:rPr>
        <w:t>prečišćavanja :</w:t>
      </w:r>
      <w:proofErr w:type="gramEnd"/>
      <w:r w:rsidR="00A07A55" w:rsidRPr="0058328A">
        <w:rPr>
          <w:rFonts w:ascii="Tw Cen MT" w:hAnsi="Tw Cen MT"/>
          <w:sz w:val="24"/>
          <w:szCs w:val="24"/>
        </w:rPr>
        <w:t xml:space="preserve"> klasa I lakih naftnih derivate u izlaznoj vodi ≤5 mg/l. Nominalna veličina NG 3-10 zapremina taložnika SF 450-1080 l.</w:t>
      </w:r>
    </w:p>
    <w:p w:rsidR="00AC1908" w:rsidRPr="0058328A" w:rsidRDefault="001112FB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 xml:space="preserve">Djelatnost predmetnog objekta je takva da se u procesu njegove eksploatacije može očekivati stvaranje izvjesnih količina čvrstog otpada. Za razliku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od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eksploatacije, prilikom realizacije doći će do stvaranja većih količina otpada. Proizvedena količina čvrstog komunalnog otpada po jednom zaposlenom iznosi oko 0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,4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kg/dan. Dakle dnevna količina proizvedenog otpada u predmetnom objektu iznosi 2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,0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kg, a na godišnjem nivou 730 kg. Odlaganje komunalnog otpada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će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se vršiti u odgovarajuću čvrstu posudu za privremeno odlaganje otpada. Ove kontejnere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će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prazniti društvo nadležno za komunalne poslove iz Danilovgrada, a na osnovu ugovora sa predmetnim društvom. Kao sastavni dio radova u građevinarstu pojavljaju se iskopi. U ovom slučaju mater</w:t>
      </w:r>
      <w:r w:rsidR="00A07A55" w:rsidRPr="0058328A">
        <w:rPr>
          <w:rFonts w:ascii="Tw Cen MT" w:hAnsi="Tw Cen MT" w:cs="Times New Roman"/>
          <w:sz w:val="24"/>
          <w:szCs w:val="24"/>
        </w:rPr>
        <w:t>j</w:t>
      </w:r>
      <w:r w:rsidRPr="0058328A">
        <w:rPr>
          <w:rFonts w:ascii="Tw Cen MT" w:hAnsi="Tw Cen MT" w:cs="Times New Roman"/>
          <w:sz w:val="24"/>
          <w:szCs w:val="24"/>
        </w:rPr>
        <w:t xml:space="preserve">ial koji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će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se javiti tokom iskopa iskoristit će se za nasipanje temelja oko objekta, a višak materijala će se odvoziti na deponiju koju nadležni organ lokalne samouprave odredi.</w:t>
      </w:r>
    </w:p>
    <w:p w:rsidR="00A01573" w:rsidRPr="0058328A" w:rsidRDefault="00A01573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 xml:space="preserve">U toku obavljanja djelatnosti lakiranja motornih vozila </w:t>
      </w:r>
      <w:r w:rsidR="00AC39DF" w:rsidRPr="0058328A">
        <w:rPr>
          <w:rFonts w:ascii="Tw Cen MT" w:hAnsi="Tw Cen MT" w:cs="Times New Roman"/>
          <w:sz w:val="24"/>
          <w:szCs w:val="24"/>
        </w:rPr>
        <w:t>kao otpadne materije</w:t>
      </w:r>
      <w:r w:rsidRPr="0058328A">
        <w:rPr>
          <w:rFonts w:ascii="Tw Cen MT" w:hAnsi="Tw Cen MT" w:cs="Times New Roman"/>
          <w:sz w:val="24"/>
          <w:szCs w:val="24"/>
        </w:rPr>
        <w:t xml:space="preserve"> mogu nastati </w:t>
      </w:r>
      <w:r w:rsidR="00AC39DF" w:rsidRPr="0058328A">
        <w:rPr>
          <w:rFonts w:ascii="Tw Cen MT" w:hAnsi="Tw Cen MT" w:cs="Times New Roman"/>
          <w:sz w:val="24"/>
          <w:szCs w:val="24"/>
        </w:rPr>
        <w:t>razne vrste supstanci.</w:t>
      </w:r>
    </w:p>
    <w:p w:rsidR="00ED5185" w:rsidRPr="0058328A" w:rsidRDefault="00ED5185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 xml:space="preserve">Prilikom izvođenja radova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na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projektu očekuje se ma</w:t>
      </w:r>
      <w:r w:rsidR="00F22A2E" w:rsidRPr="0058328A">
        <w:rPr>
          <w:rFonts w:ascii="Tw Cen MT" w:hAnsi="Tw Cen MT" w:cs="Times New Roman"/>
          <w:sz w:val="24"/>
          <w:szCs w:val="24"/>
        </w:rPr>
        <w:t>nj</w:t>
      </w:r>
      <w:r w:rsidRPr="0058328A">
        <w:rPr>
          <w:rFonts w:ascii="Tw Cen MT" w:hAnsi="Tw Cen MT" w:cs="Times New Roman"/>
          <w:sz w:val="24"/>
          <w:szCs w:val="24"/>
        </w:rPr>
        <w:t>a pojava vibracija usled rada mehanizacije na samoj lokaciji.Ova pojava je privremenog karaktera i nema značajnog uticaja na okolinu.</w:t>
      </w:r>
    </w:p>
    <w:p w:rsidR="00194026" w:rsidRPr="0058328A" w:rsidRDefault="00FE1F15" w:rsidP="00616EEE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>U toku izgradnje i ekspoloatacije objekta nije za očekivati pojavu velikih zagađenja i izazivanje neprijatnih mirisa</w:t>
      </w:r>
      <w:r w:rsidR="00616EEE" w:rsidRPr="0058328A">
        <w:rPr>
          <w:rFonts w:ascii="Tw Cen MT" w:hAnsi="Tw Cen MT" w:cs="Times New Roman"/>
          <w:sz w:val="24"/>
          <w:szCs w:val="24"/>
        </w:rPr>
        <w:t>.</w:t>
      </w:r>
    </w:p>
    <w:p w:rsidR="00FE1F15" w:rsidRPr="0058328A" w:rsidRDefault="00FE1F15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 xml:space="preserve">Kao prečišćivač izduvnih gasova koji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će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skloniti boju iz vazduha i smanjiti procenat uzroka (čestica) zagađenja predviđen je aktivni ugalj.</w:t>
      </w:r>
    </w:p>
    <w:p w:rsidR="00FE1F15" w:rsidRPr="0058328A" w:rsidRDefault="00FE1F15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 xml:space="preserve">Za lakiranje automobila u ekološkim komorama isključivo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će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se koristiti ekološke boje za lakiranje čija je osnovna sirovina vodotopiva akrilna smola.</w:t>
      </w:r>
    </w:p>
    <w:p w:rsidR="00A07A55" w:rsidRPr="0058328A" w:rsidRDefault="00A07A55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>T</w:t>
      </w:r>
      <w:r w:rsidR="00806F16" w:rsidRPr="0058328A">
        <w:rPr>
          <w:rFonts w:ascii="Tw Cen MT" w:hAnsi="Tw Cen MT" w:cs="Times New Roman"/>
          <w:sz w:val="24"/>
          <w:szCs w:val="24"/>
        </w:rPr>
        <w:t>okom izvo</w:t>
      </w:r>
      <w:r w:rsidR="00FE1F15" w:rsidRPr="0058328A">
        <w:rPr>
          <w:rFonts w:ascii="Tw Cen MT" w:hAnsi="Tw Cen MT" w:cs="Times New Roman"/>
          <w:sz w:val="24"/>
          <w:szCs w:val="24"/>
        </w:rPr>
        <w:t xml:space="preserve">đenja radova povremeno </w:t>
      </w:r>
      <w:proofErr w:type="gramStart"/>
      <w:r w:rsidR="00FE1F15" w:rsidRPr="0058328A">
        <w:rPr>
          <w:rFonts w:ascii="Tw Cen MT" w:hAnsi="Tw Cen MT" w:cs="Times New Roman"/>
          <w:sz w:val="24"/>
          <w:szCs w:val="24"/>
        </w:rPr>
        <w:t>će</w:t>
      </w:r>
      <w:proofErr w:type="gramEnd"/>
      <w:r w:rsidR="00FE1F15" w:rsidRPr="0058328A">
        <w:rPr>
          <w:rFonts w:ascii="Tw Cen MT" w:hAnsi="Tw Cen MT" w:cs="Times New Roman"/>
          <w:sz w:val="24"/>
          <w:szCs w:val="24"/>
        </w:rPr>
        <w:t xml:space="preserve"> se oslobađati buka i prašina. Nivo buke ne bi trebao biti problem jer </w:t>
      </w:r>
      <w:proofErr w:type="gramStart"/>
      <w:r w:rsidR="00FE1F15" w:rsidRPr="0058328A">
        <w:rPr>
          <w:rFonts w:ascii="Tw Cen MT" w:hAnsi="Tw Cen MT" w:cs="Times New Roman"/>
          <w:sz w:val="24"/>
          <w:szCs w:val="24"/>
        </w:rPr>
        <w:t>će</w:t>
      </w:r>
      <w:proofErr w:type="gramEnd"/>
      <w:r w:rsidR="00FE1F15" w:rsidRPr="0058328A">
        <w:rPr>
          <w:rFonts w:ascii="Tw Cen MT" w:hAnsi="Tw Cen MT" w:cs="Times New Roman"/>
          <w:sz w:val="24"/>
          <w:szCs w:val="24"/>
        </w:rPr>
        <w:t xml:space="preserve"> se preduzeti mjere ublažavanja istih. Predviđeno je i da se okolina predmetnog objekta prska pomoću prskalica kako bi se smanjila koncentracija prašine u vazduhu. </w:t>
      </w:r>
    </w:p>
    <w:p w:rsidR="00FE1F15" w:rsidRPr="0058328A" w:rsidRDefault="00FE1F15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lastRenderedPageBreak/>
        <w:t xml:space="preserve">U fazi eksploatacije, obavljanje autolakirske djelatnosti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će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se obavljati standardizovanim postupkom sa ugrađenim filterima tako da se ne očekuje zagađivanje vazduha.</w:t>
      </w:r>
    </w:p>
    <w:p w:rsidR="000F2E44" w:rsidRPr="0058328A" w:rsidRDefault="004F2962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 xml:space="preserve">S obzirom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na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vrstu djelatnosti, kapacitet, namjenu i</w:t>
      </w:r>
      <w:r w:rsidR="00FE1F15" w:rsidRPr="0058328A">
        <w:rPr>
          <w:rFonts w:ascii="Tw Cen MT" w:hAnsi="Tw Cen MT" w:cs="Times New Roman"/>
          <w:sz w:val="24"/>
          <w:szCs w:val="24"/>
        </w:rPr>
        <w:t xml:space="preserve"> n</w:t>
      </w:r>
      <w:r w:rsidRPr="0058328A">
        <w:rPr>
          <w:rFonts w:ascii="Tw Cen MT" w:hAnsi="Tw Cen MT" w:cs="Times New Roman"/>
          <w:sz w:val="24"/>
          <w:szCs w:val="24"/>
        </w:rPr>
        <w:t>a lokaciju može se konstatovati da prilikom izgradnje i eksploatacije predmetnog objekta ne može doći do zagađivanja voda, zemljišta i vazduha preko dozvoljenih vrijednosti i u takvom obimu da bi se posljedice mogle osjetiti i u nekim susjednim državama. Mogućnost za prekogranični uticaj faktički ne postoji.</w:t>
      </w:r>
    </w:p>
    <w:p w:rsidR="0007554D" w:rsidRPr="0058328A" w:rsidRDefault="00174736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r w:rsidRPr="0058328A">
        <w:rPr>
          <w:rFonts w:ascii="Tw Cen MT" w:hAnsi="Tw Cen MT" w:cs="Times New Roman"/>
          <w:sz w:val="24"/>
          <w:szCs w:val="24"/>
        </w:rPr>
        <w:t xml:space="preserve">Nije procijenjen mogući kumulativni efekat drugih projekata, jer u neposrednoj blizini </w:t>
      </w:r>
      <w:proofErr w:type="gramStart"/>
      <w:r w:rsidRPr="0058328A">
        <w:rPr>
          <w:rFonts w:ascii="Tw Cen MT" w:hAnsi="Tw Cen MT" w:cs="Times New Roman"/>
          <w:sz w:val="24"/>
          <w:szCs w:val="24"/>
        </w:rPr>
        <w:t>nema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projekata sa kojima bi bio moguć kumulativni efekat.</w:t>
      </w:r>
    </w:p>
    <w:p w:rsidR="00761717" w:rsidRPr="0058328A" w:rsidRDefault="00761717" w:rsidP="00F536F6">
      <w:pPr>
        <w:pStyle w:val="ListParagraph"/>
        <w:numPr>
          <w:ilvl w:val="0"/>
          <w:numId w:val="19"/>
        </w:numPr>
        <w:jc w:val="both"/>
        <w:rPr>
          <w:rFonts w:ascii="Tw Cen MT" w:hAnsi="Tw Cen MT" w:cs="Times New Roman"/>
          <w:sz w:val="24"/>
          <w:szCs w:val="24"/>
          <w:lang w:val="sr-Latn-CS"/>
        </w:rPr>
      </w:pPr>
      <w:proofErr w:type="gramStart"/>
      <w:r w:rsidRPr="0058328A">
        <w:rPr>
          <w:rFonts w:ascii="Tw Cen MT" w:hAnsi="Tw Cen MT" w:cs="Times New Roman"/>
          <w:sz w:val="24"/>
          <w:szCs w:val="24"/>
        </w:rPr>
        <w:t>uzimajući</w:t>
      </w:r>
      <w:proofErr w:type="gramEnd"/>
      <w:r w:rsidRPr="0058328A">
        <w:rPr>
          <w:rFonts w:ascii="Tw Cen MT" w:hAnsi="Tw Cen MT" w:cs="Times New Roman"/>
          <w:sz w:val="24"/>
          <w:szCs w:val="24"/>
        </w:rPr>
        <w:t xml:space="preserve"> u obzir raspoloživu dokumentaciju i podatke o karakteristikama planiranog projekta i predmetne lokacije, važeće tehničke normative i standarde propisane za izgradnju, korišćenje i održavanje ove vrste objekata, kao i odgovarajuće mjere zaštite utvrđe</w:t>
      </w:r>
      <w:r w:rsidR="00EB7FE7" w:rsidRPr="0058328A">
        <w:rPr>
          <w:rFonts w:ascii="Tw Cen MT" w:hAnsi="Tw Cen MT" w:cs="Times New Roman"/>
          <w:sz w:val="24"/>
          <w:szCs w:val="24"/>
        </w:rPr>
        <w:t>ne u tački II dispozitiva ovog R</w:t>
      </w:r>
      <w:r w:rsidRPr="0058328A">
        <w:rPr>
          <w:rFonts w:ascii="Tw Cen MT" w:hAnsi="Tw Cen MT" w:cs="Times New Roman"/>
          <w:sz w:val="24"/>
          <w:szCs w:val="24"/>
        </w:rPr>
        <w:t>ješenja, ne očekuje se značajni negativni uticaj na segmente životne sredine u toku izvođenja i funkcionisanja predmetnog projekta.</w:t>
      </w:r>
    </w:p>
    <w:p w:rsidR="00A01F77" w:rsidRPr="0058328A" w:rsidRDefault="00A01F77" w:rsidP="00A01F77">
      <w:pPr>
        <w:pStyle w:val="Standard"/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>Imajući u vidu prethodno navedeno, Sekretarijat za urbanizam, komunalne, stambene poslove, saobraćaj i zaštitu životne sredine, na osnovu sprovedenog postupka, razmatranja zahtjeva nosioca projekta i uvid</w:t>
      </w:r>
      <w:bookmarkStart w:id="0" w:name="_GoBack"/>
      <w:bookmarkEnd w:id="0"/>
      <w:r w:rsidRPr="0058328A">
        <w:rPr>
          <w:rFonts w:ascii="Tw Cen MT" w:hAnsi="Tw Cen MT"/>
        </w:rPr>
        <w:t>a u dostavljenu dokumentaciju, kao i primjenom odredaba člana 13, a u vezi sa članom 5 stav 1 tačka 2 Zakona o procjeni uticaja na životnu sredinu („Sl. list RCG“, br. 80/05 i „Sl. list CG“, br. 40/10, 73/10, 40/11 i 27/13) i člana 196 Zakona o opštem upravnom postupku („Sl. list RCG“, br. 60/03 i „Sl. list CG“, br. 32/11) odlu</w:t>
      </w:r>
      <w:r w:rsidR="00EB7FE7" w:rsidRPr="0058328A">
        <w:rPr>
          <w:rFonts w:ascii="Tw Cen MT" w:hAnsi="Tw Cen MT"/>
        </w:rPr>
        <w:t>čeno je kao u dispozitivu ovog R</w:t>
      </w:r>
      <w:r w:rsidRPr="0058328A">
        <w:rPr>
          <w:rFonts w:ascii="Tw Cen MT" w:hAnsi="Tw Cen MT"/>
        </w:rPr>
        <w:t>ješenja.</w:t>
      </w:r>
    </w:p>
    <w:p w:rsidR="00A01F77" w:rsidRPr="0058328A" w:rsidRDefault="00A01F77" w:rsidP="00A01F77">
      <w:pPr>
        <w:pStyle w:val="Standard"/>
        <w:jc w:val="both"/>
        <w:rPr>
          <w:rFonts w:ascii="Tw Cen MT" w:hAnsi="Tw Cen MT"/>
        </w:rPr>
      </w:pPr>
    </w:p>
    <w:p w:rsidR="00194026" w:rsidRPr="0058328A" w:rsidRDefault="00EB7FE7" w:rsidP="00A01F77">
      <w:pPr>
        <w:pStyle w:val="Standard"/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>Ovim R</w:t>
      </w:r>
      <w:r w:rsidR="00A01F77" w:rsidRPr="0058328A">
        <w:rPr>
          <w:rFonts w:ascii="Tw Cen MT" w:hAnsi="Tw Cen MT"/>
        </w:rPr>
        <w:t xml:space="preserve">ješenjem su utvrđene mjere za sprječavanje mogućih štetnih uticaja </w:t>
      </w:r>
      <w:proofErr w:type="gramStart"/>
      <w:r w:rsidR="00A01F77" w:rsidRPr="0058328A">
        <w:rPr>
          <w:rFonts w:ascii="Tw Cen MT" w:hAnsi="Tw Cen MT"/>
        </w:rPr>
        <w:t>na</w:t>
      </w:r>
      <w:proofErr w:type="gramEnd"/>
      <w:r w:rsidR="00A01F77" w:rsidRPr="0058328A">
        <w:rPr>
          <w:rFonts w:ascii="Tw Cen MT" w:hAnsi="Tw Cen MT"/>
        </w:rPr>
        <w:t xml:space="preserve"> životnu sredinu u toku eksploatacije projekta i naloženo nosiocu projekt</w:t>
      </w:r>
      <w:r w:rsidRPr="0058328A">
        <w:rPr>
          <w:rFonts w:ascii="Tw Cen MT" w:hAnsi="Tw Cen MT"/>
        </w:rPr>
        <w:t>a da ovo R</w:t>
      </w:r>
      <w:r w:rsidR="00A01F77" w:rsidRPr="0058328A">
        <w:rPr>
          <w:rFonts w:ascii="Tw Cen MT" w:hAnsi="Tw Cen MT"/>
        </w:rPr>
        <w:t>ješenje da na uvid obrađivaču tehničke dokumentacije, kako bi se navedene mjere ispoštavale pri izradi i implementaciji tehničke dokumentacije i provjerile u postupku tehničke kontrole i tehničkog pregleda projekta.</w:t>
      </w:r>
    </w:p>
    <w:p w:rsidR="00A01F77" w:rsidRPr="0058328A" w:rsidRDefault="00EB7FE7" w:rsidP="00A01F77">
      <w:pPr>
        <w:pStyle w:val="Standard"/>
        <w:jc w:val="both"/>
        <w:rPr>
          <w:rFonts w:ascii="Tw Cen MT" w:hAnsi="Tw Cen MT"/>
        </w:rPr>
      </w:pPr>
      <w:r w:rsidRPr="0058328A">
        <w:rPr>
          <w:rFonts w:ascii="Tw Cen MT" w:hAnsi="Tw Cen MT"/>
        </w:rPr>
        <w:t>Takođe, R</w:t>
      </w:r>
      <w:r w:rsidR="00A01F77" w:rsidRPr="0058328A">
        <w:rPr>
          <w:rFonts w:ascii="Tw Cen MT" w:hAnsi="Tw Cen MT"/>
        </w:rPr>
        <w:t xml:space="preserve">ješenjem je utvrđena obaveza nosioca projekta da u slučaju prenamjene </w:t>
      </w:r>
      <w:proofErr w:type="gramStart"/>
      <w:r w:rsidR="00A01F77" w:rsidRPr="0058328A">
        <w:rPr>
          <w:rFonts w:ascii="Tw Cen MT" w:hAnsi="Tw Cen MT"/>
        </w:rPr>
        <w:t>ili</w:t>
      </w:r>
      <w:proofErr w:type="gramEnd"/>
      <w:r w:rsidR="00A01F77" w:rsidRPr="0058328A">
        <w:rPr>
          <w:rFonts w:ascii="Tw Cen MT" w:hAnsi="Tw Cen MT"/>
        </w:rPr>
        <w:t xml:space="preserve"> proširenja kapaciteta izvedenog projekta, podnese zahtjev nadležnom organu za odlučivanje o potrebi procjene uticaja na životnu sredinu.</w:t>
      </w:r>
    </w:p>
    <w:p w:rsidR="00A01F77" w:rsidRPr="0058328A" w:rsidRDefault="00A01F77" w:rsidP="00A01F77">
      <w:pPr>
        <w:pStyle w:val="Standard"/>
        <w:jc w:val="both"/>
        <w:rPr>
          <w:rFonts w:ascii="Tw Cen MT" w:hAnsi="Tw Cen MT"/>
        </w:rPr>
      </w:pPr>
    </w:p>
    <w:p w:rsidR="002159B5" w:rsidRPr="0058328A" w:rsidRDefault="002159B5" w:rsidP="002159B5">
      <w:pPr>
        <w:jc w:val="both"/>
        <w:rPr>
          <w:rFonts w:ascii="Tw Cen MT" w:hAnsi="Tw Cen MT"/>
          <w:lang w:val="sr-Latn-CS"/>
        </w:rPr>
      </w:pPr>
    </w:p>
    <w:p w:rsidR="00E10196" w:rsidRPr="0058328A" w:rsidRDefault="002159B5" w:rsidP="00616EEE">
      <w:pPr>
        <w:jc w:val="both"/>
        <w:rPr>
          <w:rFonts w:ascii="Tw Cen MT" w:hAnsi="Tw Cen MT"/>
          <w:lang w:val="sr-Latn-CS"/>
        </w:rPr>
      </w:pPr>
      <w:r w:rsidRPr="0058328A">
        <w:rPr>
          <w:rFonts w:ascii="Tw Cen MT" w:hAnsi="Tw Cen MT"/>
          <w:b/>
          <w:lang w:val="sr-Latn-CS"/>
        </w:rPr>
        <w:t>PRAVNA POUKA</w:t>
      </w:r>
      <w:r w:rsidRPr="0058328A">
        <w:rPr>
          <w:rFonts w:ascii="Tw Cen MT" w:hAnsi="Tw Cen MT"/>
          <w:lang w:val="sr-Latn-CS"/>
        </w:rPr>
        <w:t xml:space="preserve">: Protiv ovog rješenja može se izjaviti žalba Glavnom administratoru   u roku od 15 dana od dana prijema istog. Žalba se predaje preko ovog sekretarijata i taksira sa 5,00 € administrativne takse. </w:t>
      </w:r>
    </w:p>
    <w:p w:rsidR="00A01F77" w:rsidRPr="0058328A" w:rsidRDefault="00A01F77" w:rsidP="00A01F77">
      <w:pPr>
        <w:pStyle w:val="Standard"/>
        <w:rPr>
          <w:rFonts w:ascii="Tw Cen MT" w:hAnsi="Tw Cen MT"/>
        </w:rPr>
      </w:pPr>
    </w:p>
    <w:p w:rsidR="00A01F77" w:rsidRPr="0058328A" w:rsidRDefault="00A01F77" w:rsidP="00A01F77">
      <w:pPr>
        <w:pStyle w:val="Standard"/>
        <w:rPr>
          <w:rFonts w:ascii="Tw Cen MT" w:hAnsi="Tw Cen MT"/>
        </w:rPr>
      </w:pPr>
      <w:r w:rsidRPr="0058328A">
        <w:rPr>
          <w:rFonts w:ascii="Tw Cen MT" w:hAnsi="Tw Cen MT"/>
          <w:b/>
        </w:rPr>
        <w:t>DOSTAVLJENO:</w:t>
      </w:r>
      <w:r w:rsidR="00194026" w:rsidRPr="0058328A">
        <w:rPr>
          <w:rFonts w:ascii="Tw Cen MT" w:hAnsi="Tw Cen MT"/>
        </w:rPr>
        <w:t xml:space="preserve">                  </w:t>
      </w:r>
      <w:r w:rsidRPr="0058328A">
        <w:rPr>
          <w:rFonts w:ascii="Tw Cen MT" w:hAnsi="Tw Cen MT"/>
        </w:rPr>
        <w:t xml:space="preserve"> </w:t>
      </w:r>
      <w:r w:rsidR="00194026" w:rsidRPr="0058328A">
        <w:rPr>
          <w:rFonts w:ascii="Tw Cen MT" w:hAnsi="Tw Cen MT"/>
        </w:rPr>
        <w:t xml:space="preserve">  </w:t>
      </w:r>
      <w:r w:rsidRPr="0058328A">
        <w:rPr>
          <w:rFonts w:ascii="Tw Cen MT" w:hAnsi="Tw Cen MT"/>
        </w:rPr>
        <w:t xml:space="preserve"> </w:t>
      </w:r>
      <w:r w:rsidR="00194026" w:rsidRPr="0058328A">
        <w:rPr>
          <w:rFonts w:ascii="Tw Cen MT" w:hAnsi="Tw Cen MT"/>
        </w:rPr>
        <w:t xml:space="preserve">   </w:t>
      </w:r>
      <w:r w:rsidRPr="0058328A">
        <w:rPr>
          <w:rFonts w:ascii="Tw Cen MT" w:hAnsi="Tw Cen MT"/>
          <w:b/>
        </w:rPr>
        <w:t>Obradio/la:                             S E K R E T A R</w:t>
      </w:r>
      <w:r w:rsidRPr="0058328A">
        <w:rPr>
          <w:rFonts w:ascii="Tw Cen MT" w:hAnsi="Tw Cen MT"/>
        </w:rPr>
        <w:t>,</w:t>
      </w:r>
    </w:p>
    <w:p w:rsidR="00A01F77" w:rsidRPr="0058328A" w:rsidRDefault="00194026" w:rsidP="00A01F77">
      <w:pPr>
        <w:pStyle w:val="Standard"/>
        <w:rPr>
          <w:rFonts w:ascii="Tw Cen MT" w:hAnsi="Tw Cen MT"/>
        </w:rPr>
      </w:pPr>
      <w:r w:rsidRPr="0058328A">
        <w:rPr>
          <w:rFonts w:ascii="Tw Cen MT" w:hAnsi="Tw Cen MT"/>
        </w:rPr>
        <w:t xml:space="preserve">- </w:t>
      </w:r>
      <w:proofErr w:type="gramStart"/>
      <w:r w:rsidRPr="0058328A">
        <w:rPr>
          <w:rFonts w:ascii="Tw Cen MT" w:hAnsi="Tw Cen MT"/>
        </w:rPr>
        <w:t>n</w:t>
      </w:r>
      <w:r w:rsidR="00A01F77" w:rsidRPr="0058328A">
        <w:rPr>
          <w:rFonts w:ascii="Tw Cen MT" w:hAnsi="Tw Cen MT"/>
        </w:rPr>
        <w:t>osiocu</w:t>
      </w:r>
      <w:proofErr w:type="gramEnd"/>
      <w:r w:rsidR="00A01F77" w:rsidRPr="0058328A">
        <w:rPr>
          <w:rFonts w:ascii="Tw Cen MT" w:hAnsi="Tw Cen MT"/>
        </w:rPr>
        <w:t xml:space="preserve"> projekta                   </w:t>
      </w:r>
      <w:r w:rsidRPr="0058328A">
        <w:rPr>
          <w:rFonts w:ascii="Tw Cen MT" w:hAnsi="Tw Cen MT"/>
        </w:rPr>
        <w:t xml:space="preserve">   Sandra Vuković            </w:t>
      </w:r>
      <w:r w:rsidR="00A01F77" w:rsidRPr="0058328A">
        <w:rPr>
          <w:rFonts w:ascii="Tw Cen MT" w:hAnsi="Tw Cen MT"/>
        </w:rPr>
        <w:t xml:space="preserve"> Arh. </w:t>
      </w:r>
      <w:proofErr w:type="gramStart"/>
      <w:r w:rsidR="00A01F77" w:rsidRPr="0058328A">
        <w:rPr>
          <w:rFonts w:ascii="Tw Cen MT" w:hAnsi="Tw Cen MT"/>
        </w:rPr>
        <w:t>Vasilije R.Otašević dipl. ing.</w:t>
      </w:r>
      <w:proofErr w:type="gramEnd"/>
    </w:p>
    <w:p w:rsidR="00A01F77" w:rsidRPr="0058328A" w:rsidRDefault="00A01F77" w:rsidP="00A01F77">
      <w:pPr>
        <w:pStyle w:val="Standard"/>
        <w:rPr>
          <w:rFonts w:ascii="Tw Cen MT" w:hAnsi="Tw Cen MT"/>
        </w:rPr>
      </w:pPr>
      <w:r w:rsidRPr="0058328A">
        <w:rPr>
          <w:rFonts w:ascii="Tw Cen MT" w:hAnsi="Tw Cen MT"/>
        </w:rPr>
        <w:t xml:space="preserve">- </w:t>
      </w:r>
      <w:proofErr w:type="gramStart"/>
      <w:r w:rsidR="00194026" w:rsidRPr="0058328A">
        <w:rPr>
          <w:rFonts w:ascii="Tw Cen MT" w:hAnsi="Tw Cen MT"/>
        </w:rPr>
        <w:t>g</w:t>
      </w:r>
      <w:r w:rsidRPr="0058328A">
        <w:rPr>
          <w:rFonts w:ascii="Tw Cen MT" w:hAnsi="Tw Cen MT"/>
        </w:rPr>
        <w:t>lavnom</w:t>
      </w:r>
      <w:proofErr w:type="gramEnd"/>
      <w:r w:rsidRPr="0058328A">
        <w:rPr>
          <w:rFonts w:ascii="Tw Cen MT" w:hAnsi="Tw Cen MT"/>
        </w:rPr>
        <w:t xml:space="preserve"> administratoru</w:t>
      </w:r>
    </w:p>
    <w:p w:rsidR="00A01F77" w:rsidRPr="0058328A" w:rsidRDefault="00194026" w:rsidP="00A01F77">
      <w:pPr>
        <w:pStyle w:val="Standard"/>
        <w:rPr>
          <w:rFonts w:ascii="Tw Cen MT" w:hAnsi="Tw Cen MT"/>
        </w:rPr>
      </w:pPr>
      <w:r w:rsidRPr="0058328A">
        <w:rPr>
          <w:rFonts w:ascii="Tw Cen MT" w:hAnsi="Tw Cen MT"/>
        </w:rPr>
        <w:t xml:space="preserve">- </w:t>
      </w:r>
      <w:proofErr w:type="gramStart"/>
      <w:r w:rsidRPr="0058328A">
        <w:rPr>
          <w:rFonts w:ascii="Tw Cen MT" w:hAnsi="Tw Cen MT"/>
        </w:rPr>
        <w:t>a</w:t>
      </w:r>
      <w:r w:rsidR="00A01F77" w:rsidRPr="0058328A">
        <w:rPr>
          <w:rFonts w:ascii="Tw Cen MT" w:hAnsi="Tw Cen MT"/>
        </w:rPr>
        <w:t>genciji</w:t>
      </w:r>
      <w:proofErr w:type="gramEnd"/>
      <w:r w:rsidR="00A01F77" w:rsidRPr="0058328A">
        <w:rPr>
          <w:rFonts w:ascii="Tw Cen MT" w:hAnsi="Tw Cen MT"/>
        </w:rPr>
        <w:t xml:space="preserve"> za zaštitu životne sredine,</w:t>
      </w:r>
    </w:p>
    <w:p w:rsidR="00A01F77" w:rsidRPr="0058328A" w:rsidRDefault="00194026" w:rsidP="00A01F77">
      <w:pPr>
        <w:pStyle w:val="Standard"/>
        <w:rPr>
          <w:rFonts w:ascii="Tw Cen MT" w:hAnsi="Tw Cen MT"/>
        </w:rPr>
      </w:pPr>
      <w:r w:rsidRPr="0058328A">
        <w:rPr>
          <w:rFonts w:ascii="Tw Cen MT" w:hAnsi="Tw Cen MT"/>
        </w:rPr>
        <w:t xml:space="preserve">- </w:t>
      </w:r>
      <w:proofErr w:type="gramStart"/>
      <w:r w:rsidRPr="0058328A">
        <w:rPr>
          <w:rFonts w:ascii="Tw Cen MT" w:hAnsi="Tw Cen MT"/>
        </w:rPr>
        <w:t>e</w:t>
      </w:r>
      <w:r w:rsidR="00A01F77" w:rsidRPr="0058328A">
        <w:rPr>
          <w:rFonts w:ascii="Tw Cen MT" w:hAnsi="Tw Cen MT"/>
        </w:rPr>
        <w:t>kološkoj</w:t>
      </w:r>
      <w:proofErr w:type="gramEnd"/>
      <w:r w:rsidR="00A01F77" w:rsidRPr="0058328A">
        <w:rPr>
          <w:rFonts w:ascii="Tw Cen MT" w:hAnsi="Tw Cen MT"/>
        </w:rPr>
        <w:t xml:space="preserve"> inspekciji</w:t>
      </w:r>
    </w:p>
    <w:p w:rsidR="00A01F77" w:rsidRPr="0058328A" w:rsidRDefault="00194026" w:rsidP="00A01F77">
      <w:pPr>
        <w:pStyle w:val="Standard"/>
        <w:rPr>
          <w:rFonts w:ascii="Tw Cen MT" w:hAnsi="Tw Cen MT"/>
        </w:rPr>
      </w:pPr>
      <w:r w:rsidRPr="0058328A">
        <w:rPr>
          <w:rFonts w:ascii="Tw Cen MT" w:hAnsi="Tw Cen MT"/>
        </w:rPr>
        <w:t xml:space="preserve">- </w:t>
      </w:r>
      <w:proofErr w:type="gramStart"/>
      <w:r w:rsidRPr="0058328A">
        <w:rPr>
          <w:rFonts w:ascii="Tw Cen MT" w:hAnsi="Tw Cen MT"/>
        </w:rPr>
        <w:t xml:space="preserve">u </w:t>
      </w:r>
      <w:r w:rsidR="00A01F77" w:rsidRPr="0058328A">
        <w:rPr>
          <w:rFonts w:ascii="Tw Cen MT" w:hAnsi="Tw Cen MT"/>
        </w:rPr>
        <w:t xml:space="preserve"> javnu</w:t>
      </w:r>
      <w:proofErr w:type="gramEnd"/>
      <w:r w:rsidR="00A01F77" w:rsidRPr="0058328A">
        <w:rPr>
          <w:rFonts w:ascii="Tw Cen MT" w:hAnsi="Tw Cen MT"/>
        </w:rPr>
        <w:t xml:space="preserve"> knjigu o sprovedenim postupcima</w:t>
      </w:r>
    </w:p>
    <w:p w:rsidR="00A01F77" w:rsidRPr="0058328A" w:rsidRDefault="00E10196" w:rsidP="00A01F77">
      <w:pPr>
        <w:pStyle w:val="Standard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  <w:r w:rsidR="00A01F77" w:rsidRPr="0058328A">
        <w:rPr>
          <w:rFonts w:ascii="Tw Cen MT" w:hAnsi="Tw Cen MT"/>
        </w:rPr>
        <w:t xml:space="preserve"> </w:t>
      </w:r>
      <w:proofErr w:type="gramStart"/>
      <w:r w:rsidR="00A01F77" w:rsidRPr="0058328A">
        <w:rPr>
          <w:rFonts w:ascii="Tw Cen MT" w:hAnsi="Tw Cen MT"/>
        </w:rPr>
        <w:t>procjene</w:t>
      </w:r>
      <w:proofErr w:type="gramEnd"/>
      <w:r w:rsidR="00A01F77" w:rsidRPr="0058328A">
        <w:rPr>
          <w:rFonts w:ascii="Tw Cen MT" w:hAnsi="Tw Cen MT"/>
        </w:rPr>
        <w:t xml:space="preserve"> uticaja na životnu sredinu</w:t>
      </w:r>
    </w:p>
    <w:p w:rsidR="00E61411" w:rsidRPr="0058328A" w:rsidRDefault="00990C48">
      <w:pPr>
        <w:rPr>
          <w:rFonts w:ascii="Tw Cen MT" w:hAnsi="Tw Cen MT"/>
        </w:rPr>
      </w:pPr>
      <w:r w:rsidRPr="0058328A">
        <w:rPr>
          <w:rFonts w:ascii="Tw Cen MT" w:hAnsi="Tw Cen MT"/>
        </w:rPr>
        <w:t xml:space="preserve">- </w:t>
      </w:r>
      <w:r w:rsidR="00194026" w:rsidRPr="0058328A">
        <w:rPr>
          <w:rFonts w:ascii="Tw Cen MT" w:hAnsi="Tw Cen MT"/>
        </w:rPr>
        <w:t xml:space="preserve"> </w:t>
      </w:r>
      <w:proofErr w:type="gramStart"/>
      <w:r w:rsidRPr="0058328A">
        <w:rPr>
          <w:rFonts w:ascii="Tw Cen MT" w:hAnsi="Tw Cen MT"/>
        </w:rPr>
        <w:t>a/</w:t>
      </w:r>
      <w:r w:rsidR="00B24CF3" w:rsidRPr="0058328A">
        <w:rPr>
          <w:rFonts w:ascii="Tw Cen MT" w:hAnsi="Tw Cen MT"/>
        </w:rPr>
        <w:t>a</w:t>
      </w:r>
      <w:proofErr w:type="gramEnd"/>
    </w:p>
    <w:sectPr w:rsidR="00E61411" w:rsidRPr="0058328A" w:rsidSect="00F84DC9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4DA"/>
    <w:multiLevelType w:val="hybridMultilevel"/>
    <w:tmpl w:val="F4B8F6B6"/>
    <w:lvl w:ilvl="0" w:tplc="D208FD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7C2824E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E9E"/>
    <w:multiLevelType w:val="hybridMultilevel"/>
    <w:tmpl w:val="58F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83754"/>
    <w:multiLevelType w:val="hybridMultilevel"/>
    <w:tmpl w:val="98AECEDC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E3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460E5"/>
    <w:multiLevelType w:val="hybridMultilevel"/>
    <w:tmpl w:val="03EE0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10911"/>
    <w:multiLevelType w:val="hybridMultilevel"/>
    <w:tmpl w:val="2B12AD26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42B3"/>
    <w:multiLevelType w:val="hybridMultilevel"/>
    <w:tmpl w:val="1BA29F58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461E6"/>
    <w:multiLevelType w:val="hybridMultilevel"/>
    <w:tmpl w:val="E516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0679B"/>
    <w:multiLevelType w:val="hybridMultilevel"/>
    <w:tmpl w:val="C6683D72"/>
    <w:lvl w:ilvl="0" w:tplc="8BDE3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D156F5"/>
    <w:multiLevelType w:val="hybridMultilevel"/>
    <w:tmpl w:val="7CDED9B6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E0A0D"/>
    <w:multiLevelType w:val="hybridMultilevel"/>
    <w:tmpl w:val="AAF8A10A"/>
    <w:lvl w:ilvl="0" w:tplc="55667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17E89"/>
    <w:multiLevelType w:val="hybridMultilevel"/>
    <w:tmpl w:val="3FC6DAC6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27C2824E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F083C"/>
    <w:multiLevelType w:val="hybridMultilevel"/>
    <w:tmpl w:val="4A88B13C"/>
    <w:lvl w:ilvl="0" w:tplc="AD76F45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8438CD"/>
    <w:multiLevelType w:val="hybridMultilevel"/>
    <w:tmpl w:val="B8E8126C"/>
    <w:lvl w:ilvl="0" w:tplc="27C2824E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ECD5BB9"/>
    <w:multiLevelType w:val="hybridMultilevel"/>
    <w:tmpl w:val="0C2A25F4"/>
    <w:lvl w:ilvl="0" w:tplc="D208FD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076FF"/>
    <w:multiLevelType w:val="hybridMultilevel"/>
    <w:tmpl w:val="3F306A4A"/>
    <w:lvl w:ilvl="0" w:tplc="3642E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80AF0"/>
    <w:multiLevelType w:val="hybridMultilevel"/>
    <w:tmpl w:val="82AEE086"/>
    <w:lvl w:ilvl="0" w:tplc="D208FD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94035"/>
    <w:multiLevelType w:val="hybridMultilevel"/>
    <w:tmpl w:val="C4A22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02550"/>
    <w:multiLevelType w:val="hybridMultilevel"/>
    <w:tmpl w:val="4166370C"/>
    <w:lvl w:ilvl="0" w:tplc="D208FD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4569A"/>
    <w:multiLevelType w:val="hybridMultilevel"/>
    <w:tmpl w:val="111CE20C"/>
    <w:lvl w:ilvl="0" w:tplc="27C2824E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27C2824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6"/>
  </w:num>
  <w:num w:numId="5">
    <w:abstractNumId w:val="14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6"/>
  </w:num>
  <w:num w:numId="13">
    <w:abstractNumId w:val="5"/>
  </w:num>
  <w:num w:numId="14">
    <w:abstractNumId w:val="7"/>
  </w:num>
  <w:num w:numId="15">
    <w:abstractNumId w:val="0"/>
  </w:num>
  <w:num w:numId="16">
    <w:abstractNumId w:val="10"/>
  </w:num>
  <w:num w:numId="17">
    <w:abstractNumId w:val="13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159B5"/>
    <w:rsid w:val="00062745"/>
    <w:rsid w:val="000750A9"/>
    <w:rsid w:val="0007554D"/>
    <w:rsid w:val="00095BD4"/>
    <w:rsid w:val="000F1E85"/>
    <w:rsid w:val="000F2E44"/>
    <w:rsid w:val="001112FB"/>
    <w:rsid w:val="001544BA"/>
    <w:rsid w:val="001611BD"/>
    <w:rsid w:val="00174736"/>
    <w:rsid w:val="00194026"/>
    <w:rsid w:val="001A0760"/>
    <w:rsid w:val="001E2996"/>
    <w:rsid w:val="001F1100"/>
    <w:rsid w:val="002159B5"/>
    <w:rsid w:val="00281ED3"/>
    <w:rsid w:val="00294308"/>
    <w:rsid w:val="003322FE"/>
    <w:rsid w:val="00392697"/>
    <w:rsid w:val="003D6CB6"/>
    <w:rsid w:val="003E3C0E"/>
    <w:rsid w:val="003F7099"/>
    <w:rsid w:val="00434397"/>
    <w:rsid w:val="004766AE"/>
    <w:rsid w:val="00494DEF"/>
    <w:rsid w:val="004C3B15"/>
    <w:rsid w:val="004E5168"/>
    <w:rsid w:val="004F2962"/>
    <w:rsid w:val="005019C3"/>
    <w:rsid w:val="0058328A"/>
    <w:rsid w:val="00593030"/>
    <w:rsid w:val="005A0083"/>
    <w:rsid w:val="005B1F30"/>
    <w:rsid w:val="00616EEE"/>
    <w:rsid w:val="006508A7"/>
    <w:rsid w:val="0065209E"/>
    <w:rsid w:val="006521C3"/>
    <w:rsid w:val="00660496"/>
    <w:rsid w:val="006C049A"/>
    <w:rsid w:val="007074D4"/>
    <w:rsid w:val="00720564"/>
    <w:rsid w:val="0074182C"/>
    <w:rsid w:val="00761717"/>
    <w:rsid w:val="00766B45"/>
    <w:rsid w:val="00783BA6"/>
    <w:rsid w:val="007B5DDD"/>
    <w:rsid w:val="007E542B"/>
    <w:rsid w:val="00806F16"/>
    <w:rsid w:val="008434B0"/>
    <w:rsid w:val="008A44DD"/>
    <w:rsid w:val="009531AB"/>
    <w:rsid w:val="00983788"/>
    <w:rsid w:val="00990C48"/>
    <w:rsid w:val="009D0986"/>
    <w:rsid w:val="00A01573"/>
    <w:rsid w:val="00A01F77"/>
    <w:rsid w:val="00A029A8"/>
    <w:rsid w:val="00A07A55"/>
    <w:rsid w:val="00A55DB9"/>
    <w:rsid w:val="00AC1908"/>
    <w:rsid w:val="00AC39DF"/>
    <w:rsid w:val="00AF1611"/>
    <w:rsid w:val="00B24CF3"/>
    <w:rsid w:val="00B33852"/>
    <w:rsid w:val="00B934FC"/>
    <w:rsid w:val="00BB4507"/>
    <w:rsid w:val="00BE450B"/>
    <w:rsid w:val="00C569AF"/>
    <w:rsid w:val="00C91238"/>
    <w:rsid w:val="00CC1364"/>
    <w:rsid w:val="00CE2E59"/>
    <w:rsid w:val="00D25C00"/>
    <w:rsid w:val="00D30FA6"/>
    <w:rsid w:val="00D3220A"/>
    <w:rsid w:val="00DA1DE8"/>
    <w:rsid w:val="00DA6039"/>
    <w:rsid w:val="00DE6EB3"/>
    <w:rsid w:val="00E10196"/>
    <w:rsid w:val="00E40450"/>
    <w:rsid w:val="00E61411"/>
    <w:rsid w:val="00E61616"/>
    <w:rsid w:val="00EB3AE5"/>
    <w:rsid w:val="00EB7FE7"/>
    <w:rsid w:val="00ED5185"/>
    <w:rsid w:val="00EE1FCE"/>
    <w:rsid w:val="00F22A2E"/>
    <w:rsid w:val="00F36F10"/>
    <w:rsid w:val="00F536F6"/>
    <w:rsid w:val="00F53EFD"/>
    <w:rsid w:val="00F57389"/>
    <w:rsid w:val="00FA4978"/>
    <w:rsid w:val="00FD3BE6"/>
    <w:rsid w:val="00FE1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B5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C56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8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53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3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4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4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309D7-C25C-41DE-84D8-9D80E1C5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28</cp:revision>
  <cp:lastPrinted>2016-05-05T09:13:00Z</cp:lastPrinted>
  <dcterms:created xsi:type="dcterms:W3CDTF">2014-01-22T10:17:00Z</dcterms:created>
  <dcterms:modified xsi:type="dcterms:W3CDTF">2016-05-05T09:47:00Z</dcterms:modified>
</cp:coreProperties>
</file>