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0" w:rsidRDefault="009851A0" w:rsidP="009851A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CRNA GORA</w:t>
      </w:r>
    </w:p>
    <w:p w:rsidR="009851A0" w:rsidRDefault="009851A0" w:rsidP="009851A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OPŠTINA DANILOVGRAD</w:t>
      </w:r>
    </w:p>
    <w:p w:rsidR="009851A0" w:rsidRDefault="009851A0" w:rsidP="009851A0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</w:p>
    <w:p w:rsidR="009851A0" w:rsidRDefault="009851A0" w:rsidP="009851A0">
      <w:pPr>
        <w:pStyle w:val="Standard"/>
        <w:spacing w:before="24" w:after="24"/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poslove, saobraćaj i zaštitu životne sredine</w:t>
      </w:r>
    </w:p>
    <w:p w:rsidR="009851A0" w:rsidRDefault="009851A0" w:rsidP="009851A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>Broj: 03-032-5-up-462/1</w:t>
      </w:r>
    </w:p>
    <w:p w:rsidR="009851A0" w:rsidRDefault="009851A0" w:rsidP="009851A0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Danilovgrad, 02.11.2015. godine</w:t>
      </w:r>
    </w:p>
    <w:p w:rsidR="009851A0" w:rsidRDefault="009851A0" w:rsidP="009851A0">
      <w:pPr>
        <w:pStyle w:val="Standard"/>
      </w:pPr>
    </w:p>
    <w:p w:rsidR="009851A0" w:rsidRDefault="009851A0" w:rsidP="009851A0">
      <w:pPr>
        <w:pStyle w:val="Standard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 „Sl. list CG“, br. 32/11) u postupku odlučivanja po zahtjevu Zvonka Drobnjaka iz Bijelog Polja, o potrebi procjene uticaja na životnu sredinu, Sekretarijat za urbanizam, komunalne, stambene poslove,saobraćaj i zaštitu životne sredine donosi:</w:t>
      </w:r>
    </w:p>
    <w:p w:rsidR="009851A0" w:rsidRDefault="009851A0" w:rsidP="009851A0">
      <w:pPr>
        <w:pStyle w:val="Standard"/>
      </w:pPr>
    </w:p>
    <w:p w:rsidR="009851A0" w:rsidRDefault="009851A0" w:rsidP="009851A0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9851A0" w:rsidRDefault="009851A0" w:rsidP="009851A0">
      <w:pPr>
        <w:pStyle w:val="Standard"/>
      </w:pPr>
    </w:p>
    <w:p w:rsidR="009851A0" w:rsidRDefault="009851A0" w:rsidP="009851A0">
      <w:pPr>
        <w:pStyle w:val="NoSpacing"/>
        <w:jc w:val="both"/>
      </w:pPr>
      <w:r>
        <w:rPr>
          <w:b/>
        </w:rPr>
        <w:t>I   Utvrđuje se da nije potrebna procjena uticaja na životnu sredinu</w:t>
      </w:r>
      <w:r>
        <w:t xml:space="preserve"> hale za obradu inoks čeličnih profila i izradu proizvoda od inoksa, čija se realizacija planira na kat. parcelama br. 659 i 660 , KO Grlić opština Danilovgrad.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rPr>
          <w:b/>
        </w:rPr>
        <w:t>II</w:t>
      </w:r>
      <w:r>
        <w:t xml:space="preserve">  Nosilac projekta, Zvonko Drobnjak iz Bijelog Polja, može pristupiti izvođenju projekta iz tačke I</w:t>
      </w:r>
      <w:r>
        <w:br/>
        <w:t xml:space="preserve">      ovog  rješenja, u skladu sa važećim tehničkim normativima i standardima propisanim za tu vrstu</w:t>
      </w:r>
    </w:p>
    <w:p w:rsidR="009851A0" w:rsidRDefault="009851A0" w:rsidP="009851A0">
      <w:pPr>
        <w:pStyle w:val="Standard"/>
        <w:ind w:left="345"/>
        <w:jc w:val="both"/>
      </w:pPr>
      <w:r>
        <w:t>projekta, uz obavezu da pri izgradnji i funkcionisanju projekta primijeni potrebne mjere zaštite i  to:</w:t>
      </w:r>
    </w:p>
    <w:p w:rsidR="009851A0" w:rsidRDefault="009851A0" w:rsidP="009851A0">
      <w:pPr>
        <w:pStyle w:val="Standard"/>
        <w:ind w:left="720"/>
        <w:jc w:val="both"/>
      </w:pPr>
      <w:r>
        <w:t>- da se tokom izvođenja i funkcionisanja projekta izbjegnu ili na najmanju mjeru svedu ugrožavanje i oštećenje prirode, shodno članu 10 Zakona o zaštiti prirode („Sl. list CG“, br. 51/08, 21/09, 40/11 i 62/13 ),</w:t>
      </w:r>
    </w:p>
    <w:p w:rsidR="009851A0" w:rsidRDefault="009851A0" w:rsidP="009851A0">
      <w:pPr>
        <w:pStyle w:val="Standard"/>
        <w:ind w:left="720"/>
        <w:jc w:val="both"/>
      </w:pPr>
      <w:r>
        <w:t xml:space="preserve">- da se građevinski otpad, prilikom izvođenja projekta, odlaže na lokaciji koja je predviđena za tu vrstu otpada ili da ga </w:t>
      </w:r>
      <w:r>
        <w:rPr>
          <w:rFonts w:eastAsia="Times New Roman"/>
          <w:color w:val="000000"/>
          <w:shd w:val="clear" w:color="auto" w:fill="FFFFFF"/>
        </w:rPr>
        <w:t>preda na korišćenje ovlašćenoj firmi i cilju ponovne upotreba</w:t>
      </w:r>
      <w:r>
        <w:t>, pri čemu se isti ne smije miješati sa drugim vrstama otpada, odnosno odlaganje otpada vršiti u skladu sa članom 17 i 54 Zakona o upravljanju otpadom („Sl. list CG“, br. 64/11),</w:t>
      </w:r>
    </w:p>
    <w:p w:rsidR="009851A0" w:rsidRDefault="009851A0" w:rsidP="009851A0">
      <w:pPr>
        <w:pStyle w:val="Standard"/>
        <w:ind w:left="720"/>
        <w:jc w:val="both"/>
      </w:pPr>
      <w:r>
        <w:t>- da se vrši održavanje i redovno kvašenje pristupnih i gradilišnih puteva kao i prostor u krugu hale tokom funkcionisanja projekta namijenjen za manipulisanje mehanizacijom, a sve u cilju smanjenja prašine,</w:t>
      </w:r>
    </w:p>
    <w:p w:rsidR="009851A0" w:rsidRDefault="009851A0" w:rsidP="009851A0">
      <w:pPr>
        <w:pStyle w:val="Standard"/>
        <w:ind w:left="720"/>
        <w:jc w:val="both"/>
      </w:pPr>
      <w:r>
        <w:t>- u</w:t>
      </w:r>
      <w:r>
        <w:rPr>
          <w:rFonts w:eastAsia="Times New Roman"/>
          <w:color w:val="000000"/>
          <w:lang w:val="hr-HR"/>
        </w:rPr>
        <w:t xml:space="preserve"> slučaju izlivanja nafte, naftnih derivata ili ulja i maziva za podmazivanje mašina, tečnost je potrebno sakupljati pijeskom ili piljevinom i takav materijal tretirati kao opasan otpad, zatim odložiti u nepropusne sudove i predati nadležnoj firmi za sakupljanje ove vrste otpada,</w:t>
      </w:r>
    </w:p>
    <w:p w:rsidR="009851A0" w:rsidRDefault="009851A0" w:rsidP="009851A0">
      <w:pPr>
        <w:pStyle w:val="Standard"/>
        <w:ind w:left="720"/>
        <w:jc w:val="both"/>
      </w:pPr>
      <w:r>
        <w:t>- o</w:t>
      </w:r>
      <w:r>
        <w:rPr>
          <w:rFonts w:eastAsia="ArialUnicodeMS, 'Times New Roma"/>
          <w:color w:val="000000"/>
        </w:rPr>
        <w:t>tpadna ulja sakupljati u posude izrađene od materijala koji obezbjeđuje njegovu nepropustljivost, korozionu stabilnost i mehaničku otpornost,</w:t>
      </w:r>
    </w:p>
    <w:p w:rsidR="009851A0" w:rsidRDefault="009851A0" w:rsidP="009851A0">
      <w:pPr>
        <w:pStyle w:val="Standard"/>
        <w:ind w:left="720"/>
        <w:jc w:val="both"/>
      </w:pPr>
      <w:r>
        <w:rPr>
          <w:rFonts w:eastAsia="ArialUnicodeMS, 'Times New Roma"/>
          <w:color w:val="000000"/>
        </w:rPr>
        <w:t>- investitor je dužan sklopiti ugovor sa nadležnim komunalnim preduzećem o odvozu nastalog komunalnog otpada ili sa prerduzećem koje se bavi otkupom selektovanog komunalnog otpada</w:t>
      </w:r>
      <w:r>
        <w:t>,</w:t>
      </w:r>
    </w:p>
    <w:p w:rsidR="009851A0" w:rsidRDefault="009851A0" w:rsidP="009851A0">
      <w:pPr>
        <w:pStyle w:val="Standard"/>
        <w:ind w:left="720"/>
        <w:jc w:val="both"/>
      </w:pPr>
      <w:r>
        <w:t>- gubitak zelene površine nadomjestiti sadnjom autohtone drvenatse vegetacije na predmetnoj lokaciji (hrast, jasen, grab, nar, košćela, kesten, brijest),</w:t>
      </w:r>
    </w:p>
    <w:p w:rsidR="009851A0" w:rsidRDefault="009851A0" w:rsidP="009851A0">
      <w:pPr>
        <w:pStyle w:val="Standard"/>
        <w:ind w:left="720"/>
        <w:jc w:val="both"/>
      </w:pPr>
      <w:r>
        <w:t>- obodom parcele na kojoj je planiran predmetni objekat za obradu inoksa nije dozvoljeno postavljanje betonske ograde  izuzev zelenog pojasa, kako bi se smanjio negativan uticaj na prisutni ekosistem,</w:t>
      </w:r>
    </w:p>
    <w:p w:rsidR="009851A0" w:rsidRDefault="009851A0" w:rsidP="009851A0">
      <w:pPr>
        <w:pStyle w:val="Standard"/>
        <w:ind w:left="720"/>
        <w:jc w:val="both"/>
      </w:pPr>
      <w:r>
        <w:t>- u</w:t>
      </w:r>
      <w:r>
        <w:rPr>
          <w:rFonts w:eastAsia="Times New Roman"/>
          <w:color w:val="000000"/>
          <w:shd w:val="clear" w:color="auto" w:fill="FFFFFF"/>
        </w:rPr>
        <w:t xml:space="preserve"> skladu sa Pravilnikom o graničnim vrijednostima buke u životnoj sredini, načinu utvrđivanja indikatora buke i akustičkih zona i metodama ocjenjivanja štetnih efekata buke („Sl. List CG“ br 28/11) na granici ove zone buka ne smije prelaziti granične vrijednosti </w:t>
      </w:r>
      <w:r>
        <w:rPr>
          <w:rFonts w:eastAsia="Times New Roman"/>
          <w:color w:val="000000"/>
          <w:shd w:val="clear" w:color="auto" w:fill="FFFFFF"/>
        </w:rPr>
        <w:lastRenderedPageBreak/>
        <w:t>nivoa buke u zoni sa kojom se graniči tj. 60 db u toku dana odnosno 55 db u toku noci u zoni graničenja sa glavnom saobraćajnicom i 55 decibela u toku dana odnosno 45 db u toku noći na granici sa stambenom zonom,</w:t>
      </w:r>
    </w:p>
    <w:p w:rsidR="009851A0" w:rsidRDefault="009851A0" w:rsidP="009851A0">
      <w:pPr>
        <w:pStyle w:val="Standard"/>
        <w:ind w:left="720"/>
        <w:jc w:val="both"/>
      </w:pPr>
      <w:r>
        <w:t>- ukoliko dođe do akcidenta, koji može ugroziti životnu sredinu, prilikom izvođenja, funkcionisanja ili prestanka funkcionisanja projekta, nosilac projekta je dužan obavijestiti nadležni organ.</w:t>
      </w:r>
    </w:p>
    <w:p w:rsidR="009851A0" w:rsidRDefault="009851A0" w:rsidP="009851A0">
      <w:pPr>
        <w:pStyle w:val="Standard"/>
        <w:jc w:val="both"/>
      </w:pPr>
      <w:r>
        <w:t xml:space="preserve">                                     </w:t>
      </w:r>
    </w:p>
    <w:p w:rsidR="009851A0" w:rsidRDefault="009851A0" w:rsidP="009851A0">
      <w:pPr>
        <w:pStyle w:val="Standard"/>
        <w:jc w:val="both"/>
      </w:pPr>
      <w:r>
        <w:rPr>
          <w:b/>
        </w:rPr>
        <w:t xml:space="preserve">III </w:t>
      </w:r>
      <w:r>
        <w:t xml:space="preserve">Nosilac projekta je dužan ovo rješenje dati na uvid obrađivaču tehničke dokumentacije, kako bi </w:t>
      </w:r>
      <w:r>
        <w:br/>
        <w:t xml:space="preserve">      se navedene mjere ispoštovale pri izradi tehničke dokumentacije i iste provjerile u postupku</w:t>
      </w:r>
    </w:p>
    <w:p w:rsidR="009851A0" w:rsidRDefault="009851A0" w:rsidP="009851A0">
      <w:pPr>
        <w:pStyle w:val="Standard"/>
        <w:jc w:val="both"/>
      </w:pPr>
      <w:r>
        <w:t xml:space="preserve">      tehničke kontrole i tehničkog pregleda projekta.</w:t>
      </w:r>
    </w:p>
    <w:p w:rsidR="009851A0" w:rsidRDefault="009851A0" w:rsidP="009851A0">
      <w:pPr>
        <w:pStyle w:val="Standard"/>
        <w:jc w:val="both"/>
        <w:rPr>
          <w:b/>
        </w:rPr>
      </w:pPr>
    </w:p>
    <w:p w:rsidR="009851A0" w:rsidRDefault="009851A0" w:rsidP="009851A0">
      <w:pPr>
        <w:pStyle w:val="Standard"/>
        <w:jc w:val="both"/>
      </w:pPr>
      <w:r>
        <w:rPr>
          <w:b/>
        </w:rPr>
        <w:t xml:space="preserve">IV </w:t>
      </w:r>
      <w:r>
        <w:t>Nalaže se nosiocu projekta, Zvonku Drobnjaku da u slučaju prenamjene projekta</w:t>
      </w:r>
      <w:r>
        <w:br/>
        <w:t xml:space="preserve">     ili proširenja kapaciteta izvedenog projekta, podnese zahtjev nadležnom organu za odlučivanje o</w:t>
      </w:r>
    </w:p>
    <w:p w:rsidR="009851A0" w:rsidRDefault="009851A0" w:rsidP="009851A0">
      <w:pPr>
        <w:pStyle w:val="Standard"/>
        <w:jc w:val="both"/>
      </w:pPr>
      <w:r>
        <w:t xml:space="preserve">     potrebi procjene uticaja na životnu sredinu.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center"/>
        <w:rPr>
          <w:b/>
        </w:rPr>
      </w:pPr>
      <w:r>
        <w:rPr>
          <w:b/>
        </w:rPr>
        <w:t>O b r a z l o ž e nj e</w:t>
      </w:r>
    </w:p>
    <w:p w:rsidR="009851A0" w:rsidRDefault="009851A0" w:rsidP="009851A0">
      <w:pPr>
        <w:pStyle w:val="Standard"/>
        <w:rPr>
          <w:b/>
        </w:rPr>
      </w:pPr>
    </w:p>
    <w:p w:rsidR="009851A0" w:rsidRDefault="009851A0" w:rsidP="009851A0">
      <w:pPr>
        <w:pStyle w:val="NoSpacing"/>
        <w:jc w:val="both"/>
      </w:pPr>
      <w:r>
        <w:t>Nosilac projekta, Zvonko Drobnjak obratio se Sekretarijatu za urbanizam, komunalne, stambene poslove, saobraćaj i zaštitu životne sredine zahtjevom br. 03-032-5-UP-462 od  19.10.2015. godine, za odlučivanje o potrebi procjene uticaja na životnu sredinu hale za obradu inoks čeličnih profila i izradu proizvoda od inoksa , čija se realizacija planira na kat. parcelama br. 1146, KO Jastreb, opština Danilovgrad.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>Razmatranjem zahtjeva nosioca projekta i podataka o predmetnoj lokaciji, karakteristikama i mogućim uticajima navedenog projekta na životnu sredinu, Sekretarijat za urbanizam, komunalne, stambene poslove, saobraćaj i zaštitu životne sredine utvrdio je razloge za donošenje ovog rješenja: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 xml:space="preserve">- navedenim projektom planirana je izgradnja hale za obradu inoks čeličnih profila i izradu proizvoda od inoksa, </w:t>
      </w:r>
      <w:r>
        <w:rPr>
          <w:rFonts w:eastAsia="ArialUnicodeMS, 'Times New Roma"/>
        </w:rPr>
        <w:t>gabarita 35,00 x 10.00 m</w:t>
      </w:r>
      <w:r>
        <w:t>, čija se realizacija planira na kat. parcelama br. 659 i 660 , KO Grlić, opština Danilovgrad,</w:t>
      </w:r>
    </w:p>
    <w:p w:rsidR="009851A0" w:rsidRDefault="009851A0" w:rsidP="009851A0">
      <w:pPr>
        <w:pStyle w:val="Standard"/>
        <w:jc w:val="both"/>
      </w:pPr>
      <w:r>
        <w:t>- a</w:t>
      </w:r>
      <w:r>
        <w:rPr>
          <w:rFonts w:eastAsia="ArialUnicodeMS, 'Times New Roma"/>
        </w:rPr>
        <w:t>tmosverska kanalizacija će se sprovoditi ka glavnom kanalu za atmosferske padavine koji je paralelan sa glavnim magistralnim putem</w:t>
      </w:r>
      <w:r>
        <w:rPr>
          <w:rFonts w:eastAsia="Calibri"/>
        </w:rPr>
        <w:t>,</w:t>
      </w:r>
    </w:p>
    <w:p w:rsidR="009851A0" w:rsidRDefault="009851A0" w:rsidP="009851A0">
      <w:pPr>
        <w:pStyle w:val="Standard"/>
        <w:jc w:val="both"/>
      </w:pPr>
      <w:r>
        <w:t>- o</w:t>
      </w:r>
      <w:r>
        <w:rPr>
          <w:rFonts w:eastAsia="ArialUnicodeMS, 'Times New Roma"/>
          <w:bCs/>
        </w:rPr>
        <w:t>d cjelokupne sirovine 90% će se koristi za izradu ograda. Ostatak će se koristi za izradu sudopera, radnih stolova, slivnika, nogara za stolove i sl.,</w:t>
      </w:r>
    </w:p>
    <w:p w:rsidR="009851A0" w:rsidRDefault="009851A0" w:rsidP="009851A0">
      <w:pPr>
        <w:pStyle w:val="Standard"/>
        <w:jc w:val="both"/>
      </w:pPr>
      <w:r>
        <w:rPr>
          <w:rFonts w:eastAsia="ArialUnicodeMS, 'Times New Roma"/>
          <w:bCs/>
        </w:rPr>
        <w:t>- o</w:t>
      </w:r>
      <w:r>
        <w:rPr>
          <w:rFonts w:eastAsia="ArialUnicodeMS, 'Times New Roma"/>
          <w:bCs/>
          <w:color w:val="222222"/>
        </w:rPr>
        <w:t>tpad koji ostaje nakon proizvodnje krajnjeg proizvoda (najčešće ograda od inox-a) biće u potpunosti iskorišćen za sitne izrade rozetni, flanši, čepova polulopti  i ostalih ukrasnih elementa,</w:t>
      </w:r>
    </w:p>
    <w:p w:rsidR="009851A0" w:rsidRDefault="009851A0" w:rsidP="009851A0">
      <w:pPr>
        <w:pStyle w:val="Standard"/>
        <w:jc w:val="both"/>
      </w:pPr>
      <w:r>
        <w:t>- m</w:t>
      </w:r>
      <w:r>
        <w:rPr>
          <w:rFonts w:eastAsia="ArialUnicodeMS, 'Times New Roma"/>
          <w:bCs/>
        </w:rPr>
        <w:t>ašine koje rade uz pomoć ,,vodenog,, hlađenja ne stvaraju otpadnu tečnost, jer je ovo kružni proces i nema nikvih izlivanja već samo povremenog dolivanja rastvora</w:t>
      </w:r>
      <w:r>
        <w:rPr>
          <w:rFonts w:eastAsia="Calibri"/>
        </w:rPr>
        <w:t>,</w:t>
      </w:r>
    </w:p>
    <w:p w:rsidR="009851A0" w:rsidRDefault="009851A0" w:rsidP="009851A0">
      <w:pPr>
        <w:pStyle w:val="Standard"/>
        <w:jc w:val="both"/>
      </w:pPr>
      <w:r>
        <w:rPr>
          <w:rFonts w:eastAsia="Calibri"/>
        </w:rPr>
        <w:t>- pomenuti rastvor (b</w:t>
      </w:r>
      <w:r>
        <w:rPr>
          <w:rFonts w:eastAsia="ArialUnicodeMS, 'Times New Roma"/>
          <w:bCs/>
        </w:rPr>
        <w:t>iolmeol) je sintetička biorazgradiva tečnost koja ne sadrži naftne derivate. Ova tečnost je netoksična, bez mirisa, ne podliježe bakteriološkoj degradciji, ne izaziva koroziju, ne narušava respiratorne organe, ne iritira sluznicu i ne sadrži nitrate,</w:t>
      </w:r>
    </w:p>
    <w:p w:rsidR="009851A0" w:rsidRDefault="009851A0" w:rsidP="009851A0">
      <w:pPr>
        <w:pStyle w:val="Standard"/>
        <w:jc w:val="both"/>
      </w:pPr>
      <w:r>
        <w:t xml:space="preserve">- </w:t>
      </w:r>
      <w:r>
        <w:rPr>
          <w:rFonts w:eastAsia="Calibri"/>
        </w:rPr>
        <w:t>sanitarne i fekalne vode se ispuštaju u vodonepropusnu septičku jamu,</w:t>
      </w:r>
    </w:p>
    <w:p w:rsidR="009851A0" w:rsidRDefault="009851A0" w:rsidP="009851A0">
      <w:pPr>
        <w:pStyle w:val="Standard"/>
        <w:jc w:val="both"/>
      </w:pPr>
      <w:r>
        <w:t>- u</w:t>
      </w:r>
      <w:r>
        <w:rPr>
          <w:rFonts w:eastAsia="ArialUnicodeMS, 'Times New Roma"/>
          <w:bCs/>
          <w:color w:val="000000"/>
        </w:rPr>
        <w:t>zimajući u obzir materijale od kojih je izgrađen objekat, njegovu debljinu i podatka da će sve mašine biti smještene u hali za proizvodnju proizvoda od inox-a buka izvan objekta neće prelaziti jačinu od 40dBA</w:t>
      </w:r>
      <w:r>
        <w:rPr>
          <w:rFonts w:eastAsia="Calibri"/>
        </w:rPr>
        <w:t>,</w:t>
      </w:r>
    </w:p>
    <w:p w:rsidR="009851A0" w:rsidRDefault="009851A0" w:rsidP="009851A0">
      <w:pPr>
        <w:pStyle w:val="Standard"/>
        <w:jc w:val="both"/>
      </w:pPr>
      <w:r>
        <w:t>- u</w:t>
      </w:r>
      <w:r>
        <w:rPr>
          <w:rFonts w:eastAsia="Times New Roman"/>
          <w:color w:val="000000"/>
          <w:lang w:val="hr-HR"/>
        </w:rPr>
        <w:t xml:space="preserve"> toku izrade proizvoda od inox-a neće nastajati otpadne tehnološke vode</w:t>
      </w:r>
      <w:r>
        <w:rPr>
          <w:rFonts w:eastAsia="Calibri"/>
        </w:rPr>
        <w:t>,</w:t>
      </w:r>
    </w:p>
    <w:p w:rsidR="009851A0" w:rsidRDefault="009851A0" w:rsidP="009851A0">
      <w:pPr>
        <w:pStyle w:val="Standard"/>
        <w:jc w:val="both"/>
      </w:pPr>
      <w:r>
        <w:lastRenderedPageBreak/>
        <w:t>- z</w:t>
      </w:r>
      <w:r>
        <w:rPr>
          <w:rFonts w:eastAsia="Times New Roman"/>
          <w:color w:val="000000"/>
          <w:lang w:val="hr-HR"/>
        </w:rPr>
        <w:t>gađibvaje vazduha će biti prisutno od strane mašina na gradilištu u toki izgradnje predmetnog objekta pa će emitovajne izduvnih gasova biti trenutnog karaktera</w:t>
      </w:r>
      <w:r>
        <w:t>,</w:t>
      </w:r>
    </w:p>
    <w:p w:rsidR="009851A0" w:rsidRDefault="009851A0" w:rsidP="009851A0">
      <w:pPr>
        <w:pStyle w:val="Standard"/>
        <w:jc w:val="both"/>
      </w:pPr>
      <w:r>
        <w:t>- uzimajući u obzir raspoloživu dokumentaciju i podatke o karakteristikama planiranog projekta i 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projekta.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>Ovim rješenjem su utvrđene mjere za sprječavanje mogućih štetnih uticaja na životnu sredinu u toku izgradnje i eksploatacije projekta i naloženo nosiocu projekta da ovo rješenje da na uvid obrađivaču tehničke dokumentacije, kako bi se navedene mjere ispoštavale pri izradi tehničke dokumentacije i provjerile u postupku tehničke kontrole i tehničkog pregleda projekta.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t>Takođe, rješenjem je utvrđena obaveza nosioca projekta da u slučaju prenamjene ili proširenja kapaciteta izvedenog projekta, podnese zahtjev nadležnom organu za odlučivanje o potrebi procjene uticaja na životnu sredinu.</w:t>
      </w:r>
    </w:p>
    <w:p w:rsidR="009851A0" w:rsidRDefault="009851A0" w:rsidP="009851A0">
      <w:pPr>
        <w:pStyle w:val="Standard"/>
        <w:jc w:val="both"/>
      </w:pPr>
    </w:p>
    <w:p w:rsidR="009851A0" w:rsidRDefault="009851A0" w:rsidP="009851A0">
      <w:pPr>
        <w:pStyle w:val="Standard"/>
        <w:jc w:val="both"/>
      </w:pPr>
      <w:r>
        <w:rPr>
          <w:b/>
        </w:rPr>
        <w:t>PRAVNA POUKA</w:t>
      </w:r>
      <w:r>
        <w:t>: Protiv ovog rješenja može se izjaviti žalba Glavnom administratoru   u roku od 15 dana od dana prijema istog. Žalba se predaje preko ovog sekretarijata i taksira sa 5,00 € administrativne takse.</w:t>
      </w:r>
    </w:p>
    <w:p w:rsidR="009851A0" w:rsidRDefault="009851A0" w:rsidP="009851A0">
      <w:pPr>
        <w:pStyle w:val="Standard"/>
      </w:pPr>
    </w:p>
    <w:p w:rsidR="009851A0" w:rsidRDefault="009851A0" w:rsidP="009851A0">
      <w:pPr>
        <w:pStyle w:val="Standard"/>
      </w:pPr>
    </w:p>
    <w:p w:rsidR="009851A0" w:rsidRDefault="009851A0" w:rsidP="009851A0">
      <w:pPr>
        <w:pStyle w:val="Standard"/>
      </w:pPr>
      <w:r>
        <w:t xml:space="preserve">DOSTAVLJENO:                                   Obradio:                                        </w:t>
      </w:r>
      <w:r>
        <w:rPr>
          <w:b/>
        </w:rPr>
        <w:t>S E K R E T A R</w:t>
      </w:r>
      <w:r>
        <w:t>,</w:t>
      </w:r>
    </w:p>
    <w:p w:rsidR="009851A0" w:rsidRDefault="009851A0" w:rsidP="009851A0">
      <w:pPr>
        <w:pStyle w:val="Standard"/>
      </w:pPr>
      <w:r>
        <w:t xml:space="preserve">- Nosiocu projekta                                Vuk Iković                          Arh. </w:t>
      </w:r>
      <w:r>
        <w:rPr>
          <w:rFonts w:cs="Times New Roman"/>
        </w:rPr>
        <w:t>Vasilije R. Otašević dipl. ing.</w:t>
      </w:r>
    </w:p>
    <w:p w:rsidR="009851A0" w:rsidRDefault="009851A0" w:rsidP="009851A0">
      <w:pPr>
        <w:pStyle w:val="Standard"/>
      </w:pPr>
      <w:r>
        <w:t>- Glavnom administratoru</w:t>
      </w:r>
    </w:p>
    <w:p w:rsidR="009851A0" w:rsidRDefault="009851A0" w:rsidP="009851A0">
      <w:pPr>
        <w:pStyle w:val="Standard"/>
      </w:pPr>
      <w:r>
        <w:t>- Agenciji za zaštitu životne sredine,</w:t>
      </w:r>
    </w:p>
    <w:p w:rsidR="009851A0" w:rsidRDefault="009851A0" w:rsidP="009851A0">
      <w:pPr>
        <w:pStyle w:val="Standard"/>
      </w:pPr>
      <w:r>
        <w:t>- Ekološkoj inspekciji</w:t>
      </w:r>
    </w:p>
    <w:p w:rsidR="009851A0" w:rsidRDefault="009851A0" w:rsidP="009851A0">
      <w:pPr>
        <w:pStyle w:val="Standard"/>
      </w:pPr>
      <w:r>
        <w:t>- U javnu knjigu o sprovedenim postupcima</w:t>
      </w:r>
    </w:p>
    <w:p w:rsidR="009851A0" w:rsidRDefault="009851A0" w:rsidP="009851A0">
      <w:pPr>
        <w:pStyle w:val="Standard"/>
      </w:pPr>
      <w:r>
        <w:t xml:space="preserve">   procjene uticaja na životnu sredinu</w:t>
      </w:r>
    </w:p>
    <w:p w:rsidR="009851A0" w:rsidRDefault="009851A0" w:rsidP="009851A0">
      <w:pPr>
        <w:pStyle w:val="Standard"/>
      </w:pPr>
      <w:r>
        <w:t>- a/a</w:t>
      </w:r>
    </w:p>
    <w:p w:rsidR="009851A0" w:rsidRDefault="009851A0" w:rsidP="009851A0">
      <w:pPr>
        <w:pStyle w:val="Standard"/>
        <w:rPr>
          <w:lang w:val="pt-BR"/>
        </w:rPr>
      </w:pPr>
    </w:p>
    <w:p w:rsidR="009851A0" w:rsidRDefault="009851A0" w:rsidP="009851A0">
      <w:pPr>
        <w:pStyle w:val="Standard"/>
        <w:rPr>
          <w:lang w:val="pt-BR"/>
        </w:rPr>
      </w:pPr>
    </w:p>
    <w:p w:rsidR="0037748D" w:rsidRDefault="0037748D"/>
    <w:sectPr w:rsidR="0037748D" w:rsidSect="009154E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, 'Times New Rom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1A0"/>
    <w:rsid w:val="0037748D"/>
    <w:rsid w:val="0098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9851A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7845</Characters>
  <Application>Microsoft Office Word</Application>
  <DocSecurity>0</DocSecurity>
  <Lines>65</Lines>
  <Paragraphs>18</Paragraphs>
  <ScaleCrop>false</ScaleCrop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2016-03-01T08:28:00Z</dcterms:created>
  <dcterms:modified xsi:type="dcterms:W3CDTF">2016-03-01T08:28:00Z</dcterms:modified>
</cp:coreProperties>
</file>