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F8" w:rsidRDefault="00F656F8" w:rsidP="00F656F8">
      <w:pPr>
        <w:jc w:val="both"/>
        <w:rPr>
          <w:lang w:val="sr-Latn-CS"/>
        </w:rPr>
      </w:pPr>
      <w:r>
        <w:rPr>
          <w:lang w:val="sr-Latn-CS"/>
        </w:rPr>
        <w:t xml:space="preserve">     </w:t>
      </w:r>
    </w:p>
    <w:p w:rsidR="00F656F8" w:rsidRDefault="00F656F8" w:rsidP="00F656F8">
      <w:pPr>
        <w:jc w:val="both"/>
        <w:rPr>
          <w:lang w:val="sr-Latn-CS"/>
        </w:rPr>
      </w:pPr>
    </w:p>
    <w:p w:rsidR="00F656F8" w:rsidRDefault="00F656F8" w:rsidP="00F656F8">
      <w:pPr>
        <w:jc w:val="both"/>
        <w:rPr>
          <w:lang w:val="sr-Latn-CS"/>
        </w:rPr>
      </w:pPr>
      <w:r w:rsidRPr="00C624B4">
        <w:rPr>
          <w:noProof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7ECEA9A4" wp14:editId="594EEB71">
            <wp:simplePos x="0" y="0"/>
            <wp:positionH relativeFrom="margin">
              <wp:posOffset>-219075</wp:posOffset>
            </wp:positionH>
            <wp:positionV relativeFrom="margin">
              <wp:posOffset>401955</wp:posOffset>
            </wp:positionV>
            <wp:extent cx="705485" cy="896620"/>
            <wp:effectExtent l="0" t="0" r="0" b="0"/>
            <wp:wrapThrough wrapText="bothSides">
              <wp:wrapPolygon edited="0">
                <wp:start x="0" y="0"/>
                <wp:lineTo x="0" y="15603"/>
                <wp:lineTo x="7582" y="20652"/>
                <wp:lineTo x="8749" y="21110"/>
                <wp:lineTo x="11665" y="21110"/>
                <wp:lineTo x="20997" y="15603"/>
                <wp:lineTo x="2099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Danilovgrada.g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r-Latn-CS"/>
        </w:rPr>
        <w:t xml:space="preserve">               CRNA GORA</w:t>
      </w:r>
    </w:p>
    <w:p w:rsidR="00F656F8" w:rsidRDefault="00F656F8" w:rsidP="00F656F8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   OPŠTINA DANILOVGRAD</w:t>
      </w:r>
    </w:p>
    <w:p w:rsidR="00F656F8" w:rsidRDefault="00F656F8" w:rsidP="00F656F8">
      <w:pPr>
        <w:jc w:val="both"/>
        <w:rPr>
          <w:lang w:val="sr-Latn-CS"/>
        </w:rPr>
      </w:pPr>
      <w:r>
        <w:rPr>
          <w:lang w:val="sr-Latn-CS"/>
        </w:rPr>
        <w:t>Sekretarijat za urbanizam, komunalno</w:t>
      </w:r>
    </w:p>
    <w:p w:rsidR="00F656F8" w:rsidRDefault="00F656F8" w:rsidP="00F656F8">
      <w:pPr>
        <w:jc w:val="both"/>
        <w:rPr>
          <w:lang w:val="sr-Latn-CS"/>
        </w:rPr>
      </w:pPr>
      <w:r>
        <w:rPr>
          <w:lang w:val="sr-Latn-CS"/>
        </w:rPr>
        <w:t>stambene poslove i zaštitu životne sredine</w:t>
      </w:r>
    </w:p>
    <w:p w:rsidR="00F656F8" w:rsidRDefault="00F80AED" w:rsidP="00F656F8">
      <w:pPr>
        <w:jc w:val="both"/>
        <w:rPr>
          <w:lang w:val="sr-Latn-CS"/>
        </w:rPr>
      </w:pPr>
      <w:r>
        <w:rPr>
          <w:lang w:val="sr-Latn-CS"/>
        </w:rPr>
        <w:t xml:space="preserve">        Broj: 03-032-5-UP-</w:t>
      </w:r>
      <w:bookmarkStart w:id="0" w:name="_GoBack"/>
      <w:bookmarkEnd w:id="0"/>
      <w:r>
        <w:rPr>
          <w:lang w:val="sr-Latn-CS"/>
        </w:rPr>
        <w:t>307/1</w:t>
      </w:r>
    </w:p>
    <w:p w:rsidR="00F656F8" w:rsidRDefault="00725974" w:rsidP="00F656F8">
      <w:pPr>
        <w:jc w:val="both"/>
        <w:rPr>
          <w:lang w:val="sr-Latn-CS"/>
        </w:rPr>
      </w:pPr>
      <w:r>
        <w:rPr>
          <w:lang w:val="sr-Latn-CS"/>
        </w:rPr>
        <w:t xml:space="preserve">      Danilovgrad, 03.11</w:t>
      </w:r>
      <w:r w:rsidR="00F656F8">
        <w:rPr>
          <w:lang w:val="sr-Latn-CS"/>
        </w:rPr>
        <w:t>.2014. godine</w:t>
      </w:r>
    </w:p>
    <w:p w:rsidR="00F656F8" w:rsidRDefault="00F656F8" w:rsidP="00F656F8">
      <w:pPr>
        <w:ind w:left="-284"/>
        <w:jc w:val="both"/>
        <w:rPr>
          <w:lang w:val="sr-Latn-CS"/>
        </w:rPr>
      </w:pPr>
    </w:p>
    <w:p w:rsidR="00F656F8" w:rsidRDefault="00F656F8" w:rsidP="00F656F8">
      <w:pPr>
        <w:ind w:left="-284" w:firstLine="720"/>
        <w:jc w:val="both"/>
        <w:rPr>
          <w:lang w:val="sr-Latn-CS"/>
        </w:rPr>
      </w:pPr>
      <w:r>
        <w:rPr>
          <w:lang w:val="sr-Latn-CS"/>
        </w:rPr>
        <w:t xml:space="preserve">Na osnovu člana 24 Zakona o procjeni uticaja na životnu sredinu („Sl. list RCG“, br. 80/05 i „Sl. list CG“, br. 40/10, 73/10, 40/11 i 27/13) i člana 196 Zakona o opštem upravnom postupku („Sl. list RCG“, br. 60/03 i „Sl. list CG“, br. 32/11), u postupku sprovedenom po zahtjevu </w:t>
      </w:r>
      <w:r>
        <w:rPr>
          <w:sz w:val="22"/>
          <w:szCs w:val="22"/>
          <w:lang w:val="sr-Latn-CS"/>
        </w:rPr>
        <w:t>Telenor doo Podgorica“</w:t>
      </w:r>
      <w:r>
        <w:rPr>
          <w:lang w:val="sr-Latn-CS"/>
        </w:rPr>
        <w:t xml:space="preserve"> </w:t>
      </w:r>
      <w:r w:rsidRPr="00FE746F">
        <w:rPr>
          <w:sz w:val="22"/>
          <w:szCs w:val="22"/>
          <w:lang w:val="sr-Latn-CS"/>
        </w:rPr>
        <w:t>iz Podgorice</w:t>
      </w:r>
      <w:r>
        <w:rPr>
          <w:lang w:val="sr-Latn-CS"/>
        </w:rPr>
        <w:t>, Sekretarijat za urbanizam, komunalno stambene poslove i zaštitu životne sredine, donosi:</w:t>
      </w:r>
    </w:p>
    <w:p w:rsidR="00F656F8" w:rsidRDefault="00F656F8" w:rsidP="00F656F8">
      <w:pPr>
        <w:ind w:left="-284"/>
        <w:jc w:val="both"/>
        <w:rPr>
          <w:lang w:val="sr-Latn-CS"/>
        </w:rPr>
      </w:pPr>
      <w:r>
        <w:rPr>
          <w:b/>
          <w:lang w:val="sr-Latn-CS"/>
        </w:rPr>
        <w:t xml:space="preserve">   </w:t>
      </w:r>
    </w:p>
    <w:p w:rsidR="00F656F8" w:rsidRPr="00F65353" w:rsidRDefault="00F656F8" w:rsidP="00F656F8">
      <w:pPr>
        <w:ind w:left="-284"/>
        <w:jc w:val="center"/>
        <w:rPr>
          <w:b/>
          <w:lang w:val="sr-Latn-CS"/>
        </w:rPr>
      </w:pPr>
      <w:r>
        <w:rPr>
          <w:b/>
          <w:lang w:val="sr-Latn-CS"/>
        </w:rPr>
        <w:t>R J E Š E NJ E</w:t>
      </w:r>
    </w:p>
    <w:p w:rsidR="00F656F8" w:rsidRDefault="00F656F8" w:rsidP="00F656F8">
      <w:pPr>
        <w:ind w:left="-284"/>
        <w:jc w:val="both"/>
        <w:rPr>
          <w:lang w:val="sr-Latn-CS"/>
        </w:rPr>
      </w:pPr>
    </w:p>
    <w:p w:rsidR="00F656F8" w:rsidRDefault="00F656F8" w:rsidP="00F656F8">
      <w:pPr>
        <w:ind w:left="-284" w:firstLine="720"/>
        <w:jc w:val="both"/>
        <w:rPr>
          <w:lang w:val="sr-Latn-CS"/>
        </w:rPr>
      </w:pPr>
      <w:r>
        <w:rPr>
          <w:b/>
          <w:lang w:val="sr-Latn-CS"/>
        </w:rPr>
        <w:t>1. DAJE SE SAGLASNOST</w:t>
      </w:r>
      <w:r>
        <w:rPr>
          <w:lang w:val="sr-Latn-CS"/>
        </w:rPr>
        <w:t xml:space="preserve"> na </w:t>
      </w:r>
      <w:r w:rsidRPr="0087113D">
        <w:rPr>
          <w:lang w:val="sr-Latn-CS"/>
        </w:rPr>
        <w:t>El</w:t>
      </w:r>
      <w:r>
        <w:rPr>
          <w:lang w:val="sr-Latn-CS"/>
        </w:rPr>
        <w:t>aborat procjene uticaja objekta</w:t>
      </w:r>
      <w:r w:rsidRPr="00E40A13">
        <w:rPr>
          <w:lang w:val="sr-Latn-CS"/>
        </w:rPr>
        <w:t xml:space="preserve"> Bazne stanice mobilne te</w:t>
      </w:r>
      <w:r>
        <w:rPr>
          <w:lang w:val="sr-Latn-CS"/>
        </w:rPr>
        <w:t>lefonije „Gostilje“, Danilovgrad</w:t>
      </w:r>
      <w:r w:rsidRPr="00E40A13">
        <w:rPr>
          <w:lang w:val="sr-Latn-CS"/>
        </w:rPr>
        <w:t xml:space="preserve"> na životnu sredinu, koja se</w:t>
      </w:r>
      <w:r>
        <w:rPr>
          <w:lang w:val="sr-Latn-CS"/>
        </w:rPr>
        <w:t xml:space="preserve"> nalazi na kat. parceli br. 650</w:t>
      </w:r>
      <w:r w:rsidRPr="00E40A13">
        <w:rPr>
          <w:lang w:val="sr-Latn-CS"/>
        </w:rPr>
        <w:t xml:space="preserve">, </w:t>
      </w:r>
      <w:r>
        <w:rPr>
          <w:lang w:val="sr-Latn-CS"/>
        </w:rPr>
        <w:t xml:space="preserve">KO Gostilje I, opština Danilovgrad, nosioca projekta </w:t>
      </w:r>
      <w:r>
        <w:rPr>
          <w:sz w:val="22"/>
          <w:szCs w:val="22"/>
          <w:lang w:val="sr-Latn-CS"/>
        </w:rPr>
        <w:t>„Telenor doo</w:t>
      </w:r>
      <w:r>
        <w:rPr>
          <w:lang w:val="sr-Latn-CS"/>
        </w:rPr>
        <w:t xml:space="preserve"> </w:t>
      </w:r>
      <w:r w:rsidRPr="00FE746F">
        <w:rPr>
          <w:sz w:val="22"/>
          <w:szCs w:val="22"/>
          <w:lang w:val="sr-Latn-CS"/>
        </w:rPr>
        <w:t>iz Podgorice</w:t>
      </w:r>
      <w:r>
        <w:rPr>
          <w:lang w:val="sr-Latn-CS"/>
        </w:rPr>
        <w:t xml:space="preserve">, </w:t>
      </w:r>
      <w:proofErr w:type="spellStart"/>
      <w:r>
        <w:rPr>
          <w:bCs/>
          <w:szCs w:val="28"/>
        </w:rPr>
        <w:t>Bulevar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Džordža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Vašingtona</w:t>
      </w:r>
      <w:proofErr w:type="spellEnd"/>
      <w:r>
        <w:rPr>
          <w:bCs/>
          <w:szCs w:val="28"/>
        </w:rPr>
        <w:t xml:space="preserve"> br. 83, </w:t>
      </w:r>
      <w:r w:rsidRPr="00C4677B">
        <w:rPr>
          <w:bCs/>
          <w:szCs w:val="28"/>
        </w:rPr>
        <w:t>Podgorica</w:t>
      </w:r>
      <w:r>
        <w:rPr>
          <w:lang w:val="sr-Latn-CS"/>
        </w:rPr>
        <w:t xml:space="preserve">, koji je urađen u skladu </w:t>
      </w:r>
      <w:proofErr w:type="gramStart"/>
      <w:r>
        <w:rPr>
          <w:lang w:val="sr-Latn-CS"/>
        </w:rPr>
        <w:t>sa</w:t>
      </w:r>
      <w:proofErr w:type="gramEnd"/>
      <w:r>
        <w:rPr>
          <w:lang w:val="sr-Latn-CS"/>
        </w:rPr>
        <w:t xml:space="preserve"> odredbama Zakona o procjeni uticaja na životnu sredinu („Sl. list RCG“, br. 80/05 i „Sl. list CG“, br. 40/10, 73/10, 40/11 i 27/13).  </w:t>
      </w:r>
    </w:p>
    <w:p w:rsidR="00F656F8" w:rsidRDefault="00F656F8" w:rsidP="00F656F8">
      <w:pPr>
        <w:ind w:left="-284"/>
        <w:jc w:val="both"/>
        <w:rPr>
          <w:lang w:val="sr-Latn-CS"/>
        </w:rPr>
      </w:pPr>
      <w:r>
        <w:rPr>
          <w:lang w:val="sr-Latn-CS"/>
        </w:rPr>
        <w:tab/>
      </w:r>
    </w:p>
    <w:p w:rsidR="00F656F8" w:rsidRDefault="00F656F8" w:rsidP="00F656F8">
      <w:pPr>
        <w:ind w:left="-284"/>
        <w:jc w:val="both"/>
        <w:rPr>
          <w:lang w:val="sr-Latn-CS"/>
        </w:rPr>
      </w:pPr>
      <w:r>
        <w:rPr>
          <w:lang w:val="sr-Latn-CS"/>
        </w:rPr>
        <w:tab/>
        <w:t xml:space="preserve">        </w:t>
      </w:r>
      <w:r>
        <w:rPr>
          <w:b/>
          <w:lang w:val="sr-Latn-CS"/>
        </w:rPr>
        <w:t>2.</w:t>
      </w:r>
      <w:r>
        <w:rPr>
          <w:lang w:val="sr-Latn-CS"/>
        </w:rPr>
        <w:t xml:space="preserve"> Nalaže se nosiocu projekta, </w:t>
      </w:r>
    </w:p>
    <w:p w:rsidR="00F656F8" w:rsidRDefault="00F656F8" w:rsidP="00F656F8">
      <w:pPr>
        <w:ind w:left="-284"/>
        <w:jc w:val="both"/>
        <w:rPr>
          <w:lang w:val="sr-Latn-CS"/>
        </w:rPr>
      </w:pPr>
      <w:r>
        <w:rPr>
          <w:sz w:val="22"/>
          <w:szCs w:val="22"/>
          <w:lang w:val="sr-Latn-CS"/>
        </w:rPr>
        <w:t>Telenor doo Podgorica</w:t>
      </w:r>
      <w:r>
        <w:rPr>
          <w:lang w:val="sr-Latn-CS"/>
        </w:rPr>
        <w:t>, da planirani projekat, objekat</w:t>
      </w:r>
      <w:r w:rsidRPr="0087113D">
        <w:rPr>
          <w:lang w:val="sr-Latn-CS"/>
        </w:rPr>
        <w:t xml:space="preserve"> </w:t>
      </w:r>
      <w:r w:rsidRPr="00E40A13">
        <w:rPr>
          <w:lang w:val="sr-Latn-CS"/>
        </w:rPr>
        <w:t>mobilne te</w:t>
      </w:r>
      <w:r>
        <w:rPr>
          <w:lang w:val="sr-Latn-CS"/>
        </w:rPr>
        <w:t xml:space="preserve">lefonije „Gostilje“, Danilovgrad, realizuje u svemu prema mjerama zaštite životne sredine, utvrđenim u Elaboratu procjene uticaja iz tačke 1. ovog rješenja, a koje se odnose na:  </w:t>
      </w:r>
    </w:p>
    <w:p w:rsidR="00F656F8" w:rsidRDefault="00F656F8" w:rsidP="00F656F8">
      <w:pPr>
        <w:numPr>
          <w:ilvl w:val="0"/>
          <w:numId w:val="1"/>
        </w:numPr>
        <w:ind w:left="-284"/>
        <w:jc w:val="both"/>
        <w:rPr>
          <w:lang w:val="sr-Latn-CS"/>
        </w:rPr>
      </w:pPr>
      <w:r>
        <w:rPr>
          <w:lang w:val="sr-Latn-CS"/>
        </w:rPr>
        <w:t>Mjere za sprečavanje, smanjenje ili otklanjanje štetnih uticaja predviđene dokumentacijom zaštite životne sredine,</w:t>
      </w:r>
    </w:p>
    <w:p w:rsidR="00F656F8" w:rsidRDefault="00F656F8" w:rsidP="00F656F8">
      <w:pPr>
        <w:numPr>
          <w:ilvl w:val="0"/>
          <w:numId w:val="1"/>
        </w:numPr>
        <w:ind w:left="-284"/>
        <w:jc w:val="both"/>
        <w:rPr>
          <w:lang w:val="sr-Latn-CS"/>
        </w:rPr>
      </w:pPr>
      <w:r>
        <w:rPr>
          <w:lang w:val="sr-Latn-CS"/>
        </w:rPr>
        <w:t>Program praćenja uticaja projekta na životnu sredinu (monitoring).</w:t>
      </w:r>
    </w:p>
    <w:p w:rsidR="00F656F8" w:rsidRDefault="00F656F8" w:rsidP="00F656F8">
      <w:pPr>
        <w:ind w:left="-284" w:firstLine="720"/>
        <w:jc w:val="both"/>
        <w:rPr>
          <w:lang w:val="sr-Latn-CS"/>
        </w:rPr>
      </w:pPr>
      <w:r>
        <w:rPr>
          <w:lang w:val="sr-Latn-CS"/>
        </w:rPr>
        <w:t>Realizovanost mjera zaštite životne sredine definisanih u Elaboratu procjene uticaja, na koji je data saglasnost, utvrđuje ovaj organ nakon završetka izgradnje predmetnog objekta.</w:t>
      </w:r>
    </w:p>
    <w:p w:rsidR="00F656F8" w:rsidRDefault="00F656F8" w:rsidP="00F656F8">
      <w:pPr>
        <w:ind w:left="-284" w:firstLine="720"/>
        <w:jc w:val="both"/>
        <w:rPr>
          <w:b/>
          <w:lang w:val="sr-Latn-CS"/>
        </w:rPr>
      </w:pPr>
    </w:p>
    <w:p w:rsidR="00F656F8" w:rsidRDefault="00F656F8" w:rsidP="00F656F8">
      <w:pPr>
        <w:ind w:left="-284"/>
        <w:jc w:val="both"/>
        <w:rPr>
          <w:b/>
          <w:sz w:val="22"/>
          <w:szCs w:val="22"/>
          <w:lang w:val="sr-Latn-CS"/>
        </w:rPr>
      </w:pPr>
      <w:r>
        <w:rPr>
          <w:lang w:val="sr-Latn-CS"/>
        </w:rPr>
        <w:tab/>
        <w:t xml:space="preserve">       </w:t>
      </w:r>
      <w:r>
        <w:rPr>
          <w:b/>
          <w:lang w:val="sr-Latn-CS"/>
        </w:rPr>
        <w:t xml:space="preserve">3. </w:t>
      </w:r>
      <w:r>
        <w:rPr>
          <w:lang w:val="sr-Latn-CS"/>
        </w:rPr>
        <w:t>Nosilac projekta je dužan</w:t>
      </w:r>
      <w:r>
        <w:rPr>
          <w:b/>
          <w:lang w:val="sr-Latn-CS"/>
        </w:rPr>
        <w:t xml:space="preserve"> </w:t>
      </w:r>
      <w:r>
        <w:rPr>
          <w:lang w:val="sr-Latn-CS"/>
        </w:rPr>
        <w:t>da, u roku od dvije godine od dana dostavljanja ovog rješenja, pribavi dozvolu ili odobrenje za izvođenje projekta iz tačke 1. ovog rješenja.</w:t>
      </w:r>
      <w:r>
        <w:rPr>
          <w:sz w:val="22"/>
          <w:szCs w:val="22"/>
          <w:lang w:val="sr-Latn-CS"/>
        </w:rPr>
        <w:t xml:space="preserve"> </w:t>
      </w:r>
    </w:p>
    <w:p w:rsidR="00F656F8" w:rsidRDefault="00F656F8" w:rsidP="00F656F8">
      <w:pPr>
        <w:ind w:left="-284"/>
        <w:jc w:val="both"/>
        <w:rPr>
          <w:lang w:val="sr-Latn-CS"/>
        </w:rPr>
      </w:pPr>
    </w:p>
    <w:p w:rsidR="00F656F8" w:rsidRDefault="00F656F8" w:rsidP="00F656F8">
      <w:pPr>
        <w:ind w:left="-284"/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F656F8" w:rsidRDefault="00F656F8" w:rsidP="00F656F8">
      <w:pPr>
        <w:ind w:left="-284"/>
        <w:jc w:val="both"/>
        <w:rPr>
          <w:lang w:val="sr-Latn-CS"/>
        </w:rPr>
      </w:pP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  <w:t xml:space="preserve">Nosilac projekta, Telenor doo Podgorica, podnio je dana 14.10.2014. godine, zahtjev br. 03-032-5-UP-307 za davanje saglasnosti na Elaborat procjene uticaja </w:t>
      </w:r>
      <w:r w:rsidRPr="0087113D">
        <w:rPr>
          <w:lang w:val="sr-Latn-CS"/>
        </w:rPr>
        <w:t xml:space="preserve">objekta Bazne </w:t>
      </w:r>
      <w:r>
        <w:rPr>
          <w:lang w:val="sr-Latn-CS"/>
        </w:rPr>
        <w:t xml:space="preserve">stanice </w:t>
      </w:r>
      <w:r w:rsidRPr="00E40A13">
        <w:rPr>
          <w:lang w:val="sr-Latn-CS"/>
        </w:rPr>
        <w:t>mobilne te</w:t>
      </w:r>
      <w:r>
        <w:rPr>
          <w:lang w:val="sr-Latn-CS"/>
        </w:rPr>
        <w:t>lefonije „Gostilje“, Danilovgrad</w:t>
      </w:r>
      <w:r w:rsidRPr="00E40A13">
        <w:rPr>
          <w:lang w:val="sr-Latn-CS"/>
        </w:rPr>
        <w:t xml:space="preserve"> na životnu sredinu</w:t>
      </w:r>
      <w:r>
        <w:rPr>
          <w:lang w:val="sr-Latn-CS"/>
        </w:rPr>
        <w:t xml:space="preserve">, čija se realizacija planira </w:t>
      </w:r>
      <w:r w:rsidRPr="00972384">
        <w:rPr>
          <w:lang w:val="sr-Latn-CS"/>
        </w:rPr>
        <w:t xml:space="preserve">na kat. </w:t>
      </w:r>
      <w:r>
        <w:rPr>
          <w:lang w:val="sr-Latn-CS"/>
        </w:rPr>
        <w:t>parceli br. 650, KO Gostilje I</w:t>
      </w:r>
      <w:r w:rsidRPr="00972384">
        <w:rPr>
          <w:lang w:val="sr-Latn-CS"/>
        </w:rPr>
        <w:t>, opština Danilovgrad</w:t>
      </w:r>
      <w:r>
        <w:rPr>
          <w:lang w:val="sr-Latn-CS"/>
        </w:rPr>
        <w:t xml:space="preserve">, (u daljem tekstu: Elaborat procjene uticaja), koji je uradio </w:t>
      </w:r>
      <w:r w:rsidRPr="00972384">
        <w:rPr>
          <w:sz w:val="22"/>
          <w:lang w:val="sr-Latn-CS"/>
        </w:rPr>
        <w:t xml:space="preserve">JU Institut za razvoj i istraživanja u oblasti zaštite na radu – Zavod za ekologiju </w:t>
      </w:r>
      <w:r>
        <w:rPr>
          <w:sz w:val="22"/>
          <w:lang w:val="sr-Latn-CS"/>
        </w:rPr>
        <w:t>–</w:t>
      </w:r>
      <w:r w:rsidRPr="00972384">
        <w:rPr>
          <w:sz w:val="22"/>
          <w:lang w:val="sr-Latn-CS"/>
        </w:rPr>
        <w:t xml:space="preserve"> Podgorica</w:t>
      </w:r>
      <w:r>
        <w:rPr>
          <w:lang w:val="sr-Latn-CS"/>
        </w:rPr>
        <w:t>.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 xml:space="preserve">     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  <w:t xml:space="preserve">Sekretarijat za urbanizam, komunalno stambene poslove i zaštitu životne sredine, u skladu sa odredbama člana 20 Zakona o procjeni uticaja na životnu sredinu („Sl. list RCG“, br. 80/05 i „Sl. list CG“, br. 40/10, 73/10, 40/11 i 27/13), uputio je obavještenje o podnijetom zahtjevu zainteresovanoj javnosti (obavještenje dato u </w:t>
      </w:r>
      <w:r>
        <w:rPr>
          <w:lang w:val="sl-SI"/>
        </w:rPr>
        <w:t xml:space="preserve">Dnevnom listu “Pobjeda” </w:t>
      </w:r>
      <w:r>
        <w:rPr>
          <w:lang w:val="sr-Latn-CS"/>
        </w:rPr>
        <w:t xml:space="preserve">dana </w:t>
      </w:r>
      <w:r w:rsidR="00B64B9A">
        <w:rPr>
          <w:lang w:val="sr-Latn-CS"/>
        </w:rPr>
        <w:t>17.10</w:t>
      </w:r>
      <w:r w:rsidRPr="00C301C1">
        <w:rPr>
          <w:lang w:val="sr-Latn-CS"/>
        </w:rPr>
        <w:t>.2014</w:t>
      </w:r>
      <w:r>
        <w:rPr>
          <w:lang w:val="sr-Latn-CS"/>
        </w:rPr>
        <w:t xml:space="preserve">. godine) i obezbijedio javni uvid u Elaborat procjene uticaja u prostorijama sekretarijata.  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  <w:t xml:space="preserve">U skladu sa članom 20 Zakona o procjeni uticaja na životnu sredinu („Sl. list RCG“, br. 80/05 i „Sl. list CG“, br. 40/10, 73/10, 40/11 i 27/13), dana </w:t>
      </w:r>
      <w:r w:rsidR="00B64B9A">
        <w:rPr>
          <w:lang w:val="sr-Latn-CS"/>
        </w:rPr>
        <w:t>28.10</w:t>
      </w:r>
      <w:r>
        <w:rPr>
          <w:lang w:val="sr-Latn-CS"/>
        </w:rPr>
        <w:t xml:space="preserve">.2014. godine sa početkom u 10,00 časova u prostorijama Sekretarijata za urbanizam, komunalno stambene poslove i zaštitu životne sredine održana je javna rasprava o predmetnom Elaboratu procjene uticaja. 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  <w:t xml:space="preserve">Elaborat procjene uticaja sa pratećom dokumentacijom je dana </w:t>
      </w:r>
      <w:r w:rsidR="00B64B9A">
        <w:rPr>
          <w:lang w:val="sr-Latn-CS"/>
        </w:rPr>
        <w:t>24.10</w:t>
      </w:r>
      <w:r>
        <w:rPr>
          <w:lang w:val="sr-Latn-CS"/>
        </w:rPr>
        <w:t>.2014. godine, dostavljen Komisiji za ocjenu Elaborata procjene uticaja, koja je formirana Rješenjem predsjednika opštine Danilovgrad, broj 03-032-</w:t>
      </w:r>
      <w:r w:rsidR="00B64B9A">
        <w:rPr>
          <w:lang w:val="sr-Latn-CS"/>
        </w:rPr>
        <w:t>1-1257 od 20.10</w:t>
      </w:r>
      <w:r>
        <w:rPr>
          <w:lang w:val="sr-Latn-CS"/>
        </w:rPr>
        <w:t xml:space="preserve">.2014. godine.    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F656F8" w:rsidRPr="00413AEE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</w:r>
      <w:r w:rsidRPr="00413AEE">
        <w:rPr>
          <w:lang w:val="sr-Latn-CS"/>
        </w:rPr>
        <w:t>Komisija za ocjenu Elaborata procjene uticaja je razmo</w:t>
      </w:r>
      <w:r w:rsidR="00B64B9A">
        <w:rPr>
          <w:lang w:val="sr-Latn-CS"/>
        </w:rPr>
        <w:t>trila dostavljenu dokumentaciju i</w:t>
      </w:r>
      <w:r w:rsidRPr="00413AEE">
        <w:rPr>
          <w:lang w:val="sr-Latn-CS"/>
        </w:rPr>
        <w:t xml:space="preserve"> konstatovala da Elaborat procjene uticaja nije urađen u svemu u skladu sa zakonom, te dana </w:t>
      </w:r>
      <w:r w:rsidR="00B64B9A">
        <w:rPr>
          <w:lang w:val="sr-Latn-CS"/>
        </w:rPr>
        <w:t>29.10</w:t>
      </w:r>
      <w:r w:rsidRPr="00413AEE">
        <w:rPr>
          <w:lang w:val="sr-Latn-CS"/>
        </w:rPr>
        <w:t>.2014. godine sačinila Izvještaj sa ocjenom Elaborata procjene uticaja i predlogom da se u istom iz</w:t>
      </w:r>
      <w:r w:rsidR="00FE6BEB">
        <w:rPr>
          <w:lang w:val="sr-Latn-CS"/>
        </w:rPr>
        <w:t>vrše određene izmjene i dopune, a</w:t>
      </w:r>
      <w:r w:rsidRPr="00413AEE">
        <w:rPr>
          <w:lang w:val="sr-Latn-CS"/>
        </w:rPr>
        <w:t xml:space="preserve"> nakon toga elaborat dostavi komisiji na dalji postupak.</w:t>
      </w:r>
    </w:p>
    <w:p w:rsidR="00F656F8" w:rsidRPr="00413AEE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F656F8" w:rsidRDefault="00FE6BEB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  <w:t>Nosilac projekta je dana 31</w:t>
      </w:r>
      <w:r w:rsidR="00725974">
        <w:rPr>
          <w:lang w:val="sr-Latn-CS"/>
        </w:rPr>
        <w:t>.10</w:t>
      </w:r>
      <w:r w:rsidR="00F656F8" w:rsidRPr="00413AEE">
        <w:rPr>
          <w:lang w:val="sr-Latn-CS"/>
        </w:rPr>
        <w:t xml:space="preserve">.2014. godine dostavio </w:t>
      </w:r>
      <w:r w:rsidR="00F656F8">
        <w:rPr>
          <w:lang w:val="sr-Latn-CS"/>
        </w:rPr>
        <w:t>tražene dopune</w:t>
      </w:r>
      <w:r w:rsidR="00F656F8" w:rsidRPr="00413AEE">
        <w:rPr>
          <w:lang w:val="sr-Latn-CS"/>
        </w:rPr>
        <w:t xml:space="preserve"> Elaborat</w:t>
      </w:r>
      <w:r w:rsidR="00F656F8">
        <w:rPr>
          <w:lang w:val="sr-Latn-CS"/>
        </w:rPr>
        <w:t>a</w:t>
      </w:r>
      <w:r w:rsidR="00F656F8" w:rsidRPr="00413AEE">
        <w:rPr>
          <w:lang w:val="sr-Latn-CS"/>
        </w:rPr>
        <w:t xml:space="preserve"> procjene uticaja na životnu sredinu. Komisija za ocjenu Elaborata je razmotrila dostavljenu dokumentaciju, konstatovala da je izmijenjeni i dopunjeni Elaborat urađen u svemu u skladu sa zakonom, te </w:t>
      </w:r>
      <w:r>
        <w:rPr>
          <w:lang w:val="sr-Latn-CS"/>
        </w:rPr>
        <w:t xml:space="preserve">istog </w:t>
      </w:r>
      <w:r w:rsidR="00F656F8" w:rsidRPr="00413AEE">
        <w:rPr>
          <w:lang w:val="sr-Latn-CS"/>
        </w:rPr>
        <w:t xml:space="preserve">dana sačinila Izvještaj sa ocjenom </w:t>
      </w:r>
      <w:r>
        <w:rPr>
          <w:lang w:val="sr-Latn-CS"/>
        </w:rPr>
        <w:t xml:space="preserve">dopunjenog </w:t>
      </w:r>
      <w:r w:rsidR="00F656F8" w:rsidRPr="00413AEE">
        <w:rPr>
          <w:lang w:val="sr-Latn-CS"/>
        </w:rPr>
        <w:t xml:space="preserve">Elaborata procjene uticaja </w:t>
      </w:r>
      <w:r w:rsidR="00F656F8" w:rsidRPr="0087113D">
        <w:rPr>
          <w:lang w:val="sr-Latn-CS"/>
        </w:rPr>
        <w:t xml:space="preserve">objekta Bazne </w:t>
      </w:r>
      <w:r w:rsidR="00F656F8">
        <w:rPr>
          <w:lang w:val="sr-Latn-CS"/>
        </w:rPr>
        <w:t xml:space="preserve">stanice </w:t>
      </w:r>
      <w:r w:rsidR="00F656F8" w:rsidRPr="00E40A13">
        <w:rPr>
          <w:lang w:val="sr-Latn-CS"/>
        </w:rPr>
        <w:t>mobilne te</w:t>
      </w:r>
      <w:r w:rsidR="00F656F8">
        <w:rPr>
          <w:lang w:val="sr-Latn-CS"/>
        </w:rPr>
        <w:t>lefonije „</w:t>
      </w:r>
      <w:r>
        <w:rPr>
          <w:lang w:val="sr-Latn-CS"/>
        </w:rPr>
        <w:t>Gostilje</w:t>
      </w:r>
      <w:r w:rsidR="00F656F8">
        <w:rPr>
          <w:lang w:val="sr-Latn-CS"/>
        </w:rPr>
        <w:t>“, Danilovgrad</w:t>
      </w:r>
      <w:r w:rsidR="00F656F8" w:rsidRPr="00E40A13">
        <w:rPr>
          <w:lang w:val="sr-Latn-CS"/>
        </w:rPr>
        <w:t xml:space="preserve"> na životnu sredinu</w:t>
      </w:r>
      <w:r w:rsidR="00F656F8" w:rsidRPr="00413AEE">
        <w:rPr>
          <w:lang w:val="sr-Latn-CS"/>
        </w:rPr>
        <w:t>, u kojem je konstatovala da se na predmetni Elaborat može izdati saglasnost</w:t>
      </w:r>
      <w:r w:rsidR="00F656F8">
        <w:rPr>
          <w:lang w:val="sr-Latn-CS"/>
        </w:rPr>
        <w:t>.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ab/>
        <w:t xml:space="preserve">Imajući u vidu navedeno, Sekretarijat za urbanizam, komunalno stambene poslove i zaštitu životne sredine na osnovu sprovedenog postupka, razmatranja Elaborata procjene uticaja, uvida u dostavljeni Izvještaj Komisije za ocjenu Elaborata procjene uticaja, odlučio je kao u dispozitivu ovog rješenja. 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 xml:space="preserve">        </w:t>
      </w:r>
      <w:r>
        <w:rPr>
          <w:lang w:val="sr-Latn-CS"/>
        </w:rPr>
        <w:tab/>
        <w:t>Ovim rješenjem utvrđena je obaveza nosioca projekta da u roku od dvije godine, od dana dostavljanja ovog rješenja, pribavi dozvolu ili odobrenje za izvođenje projekta, u suprotnom saglasnost na Elaborat procjene uticaja prestaje da važi, a ovo shodno članu 26 Zakona o procjeni uticaja na životnu sredinu („Sl. list RCG“, br. 80/05 i „Sl. list CG“, br. 40/10, 73/10, 40/11 i 27/13).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 xml:space="preserve">        </w:t>
      </w:r>
      <w:r>
        <w:rPr>
          <w:lang w:val="sr-Latn-CS"/>
        </w:rPr>
        <w:tab/>
        <w:t>Ovim rješenjem je utvrđena obaveza nosiocu projekta da nakon izgradnje predmetnog objekta obavijesti nadležni organ, odnosno Sekretarijat za urbanizam, komunalno stambene poslove i zaštitu životne sredine, kako bi isti, shodno članu 27 Zakona o procjeni uticaja na životnu sredinu („Sl. list RCG“, br. 80/05 i „Sl. list CG“, br. 40/10, 73/10, 40/11 i 27/13), utvrdio da li su realizovane sve mjere predviđene Elaboratom procjene uticaja.</w:t>
      </w:r>
    </w:p>
    <w:p w:rsidR="00F656F8" w:rsidRDefault="00F656F8" w:rsidP="00F656F8">
      <w:pPr>
        <w:ind w:left="-284"/>
        <w:jc w:val="both"/>
        <w:rPr>
          <w:b/>
          <w:sz w:val="22"/>
          <w:szCs w:val="22"/>
          <w:lang w:val="sr-Latn-CS"/>
        </w:rPr>
      </w:pPr>
    </w:p>
    <w:p w:rsidR="00F656F8" w:rsidRDefault="00F656F8" w:rsidP="00F656F8">
      <w:pPr>
        <w:ind w:left="-284"/>
        <w:jc w:val="both"/>
        <w:rPr>
          <w:lang w:val="sr-Latn-CS"/>
        </w:rPr>
      </w:pPr>
      <w:r>
        <w:rPr>
          <w:b/>
          <w:sz w:val="22"/>
          <w:szCs w:val="22"/>
          <w:lang w:val="sr-Latn-CS"/>
        </w:rPr>
        <w:tab/>
        <w:t>PRAVNA POUKA</w:t>
      </w:r>
      <w:r>
        <w:rPr>
          <w:sz w:val="22"/>
          <w:szCs w:val="22"/>
          <w:lang w:val="sr-Latn-CS"/>
        </w:rPr>
        <w:t xml:space="preserve">:  </w:t>
      </w:r>
      <w:r>
        <w:rPr>
          <w:lang w:val="sr-Latn-CS"/>
        </w:rPr>
        <w:t>Protiv ovog rješenja može se izjaviti žalba Glavnom administratoru u roku od 15. dana od dana prijema istog. Žalba se predaje preko ovog sekretarijata i taksira sa 5,00 € administrativne takse.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 xml:space="preserve">DOSTAVLJENO:                                                                                             </w:t>
      </w:r>
      <w:r>
        <w:rPr>
          <w:b/>
          <w:lang w:val="sr-Latn-CS"/>
        </w:rPr>
        <w:t>S E K R E T A R</w:t>
      </w:r>
      <w:r>
        <w:rPr>
          <w:lang w:val="sr-Latn-CS"/>
        </w:rPr>
        <w:t>,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>- Nosiocu projekta                                                                                           Slavko Velimirović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>- Glavnom administratoru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>- Agenciji za zaštitu životne sredine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>- Ekološkoj inspekciji</w:t>
      </w:r>
    </w:p>
    <w:p w:rsidR="00F656F8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>- U javnu knjigu o sprovedenim postupcima procjene uticaja na životnu sredinu</w:t>
      </w:r>
    </w:p>
    <w:p w:rsidR="00F656F8" w:rsidRPr="00F65353" w:rsidRDefault="00F656F8" w:rsidP="00F656F8">
      <w:pPr>
        <w:tabs>
          <w:tab w:val="left" w:pos="720"/>
          <w:tab w:val="left" w:pos="3135"/>
        </w:tabs>
        <w:ind w:left="-284"/>
        <w:jc w:val="both"/>
        <w:rPr>
          <w:lang w:val="sr-Latn-CS"/>
        </w:rPr>
      </w:pPr>
      <w:r>
        <w:rPr>
          <w:lang w:val="sr-Latn-CS"/>
        </w:rPr>
        <w:t>- a/a</w:t>
      </w:r>
    </w:p>
    <w:p w:rsidR="00F656F8" w:rsidRDefault="00F656F8" w:rsidP="00F656F8"/>
    <w:sectPr w:rsidR="00F656F8" w:rsidSect="009329F9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2EEA"/>
    <w:multiLevelType w:val="hybridMultilevel"/>
    <w:tmpl w:val="59880B78"/>
    <w:lvl w:ilvl="0" w:tplc="E11EFE1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F8"/>
    <w:rsid w:val="004E6591"/>
    <w:rsid w:val="00725974"/>
    <w:rsid w:val="00875596"/>
    <w:rsid w:val="00B64B9A"/>
    <w:rsid w:val="00F656F8"/>
    <w:rsid w:val="00F80AED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3</cp:revision>
  <dcterms:created xsi:type="dcterms:W3CDTF">2014-10-31T12:04:00Z</dcterms:created>
  <dcterms:modified xsi:type="dcterms:W3CDTF">2014-11-03T09:27:00Z</dcterms:modified>
</cp:coreProperties>
</file>